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134B" w14:textId="622AD10E" w:rsidR="00AE066A" w:rsidRDefault="00AE066A" w:rsidP="00AE066A">
      <w:pPr>
        <w:pStyle w:val="Heading1"/>
      </w:pPr>
      <w:r w:rsidRPr="00F22427">
        <w:t>Estimation</w:t>
      </w:r>
    </w:p>
    <w:p w14:paraId="5BA9EC67" w14:textId="130EC2E3" w:rsidR="00AE066A" w:rsidRDefault="00AE066A" w:rsidP="00AE066A">
      <w:r>
        <w:t>The table</w:t>
      </w:r>
      <w:r>
        <w:t>s in this document</w:t>
      </w:r>
      <w:r>
        <w:t xml:space="preserve"> lists every benchmark and proxy we have used to estimate the </w:t>
      </w:r>
      <w:r>
        <w:t xml:space="preserve">investments in </w:t>
      </w:r>
      <w:r>
        <w:t>equities</w:t>
      </w:r>
      <w:r>
        <w:t xml:space="preserve"> and bonds of the BLVK, PVK and BPK</w:t>
      </w:r>
      <w:r>
        <w:t>. We distribut</w:t>
      </w:r>
      <w:r>
        <w:t>ed</w:t>
      </w:r>
      <w:r>
        <w:t xml:space="preserve"> the equity</w:t>
      </w:r>
      <w:r>
        <w:t xml:space="preserve"> and bonds</w:t>
      </w:r>
      <w:r>
        <w:t xml:space="preserve"> amounts </w:t>
      </w:r>
      <w:r w:rsidRPr="00F22427">
        <w:t>across the ETFs</w:t>
      </w:r>
      <w:r>
        <w:t>’</w:t>
      </w:r>
      <w:r w:rsidRPr="00F22427">
        <w:t xml:space="preserve"> holdings using the </w:t>
      </w:r>
      <w:r>
        <w:t xml:space="preserve">weights provided by </w:t>
      </w:r>
      <w:r w:rsidR="00B72C61" w:rsidRPr="00B72C61">
        <w:t>LSEG Data &amp; Analytics</w:t>
      </w:r>
    </w:p>
    <w:p w14:paraId="76F59975" w14:textId="78D1346C" w:rsidR="00AE066A" w:rsidRDefault="00AE066A" w:rsidP="004F17B5">
      <w:r w:rsidRPr="008353F9">
        <w:t xml:space="preserve">Exposure(company </w:t>
      </w:r>
      <w:proofErr w:type="spellStart"/>
      <w:r w:rsidRPr="008353F9">
        <w:rPr>
          <w:i/>
          <w:iCs/>
        </w:rPr>
        <w:t>i</w:t>
      </w:r>
      <w:proofErr w:type="spellEnd"/>
      <w:r w:rsidRPr="008353F9">
        <w:t xml:space="preserve">) = amount × ETF </w:t>
      </w:r>
      <w:proofErr w:type="spellStart"/>
      <w:r w:rsidRPr="008353F9">
        <w:t>weight_i</w:t>
      </w:r>
      <w:proofErr w:type="spellEnd"/>
    </w:p>
    <w:p w14:paraId="05495A44" w14:textId="3C006A2A" w:rsidR="002E21ED" w:rsidRDefault="005E0996" w:rsidP="005E0996">
      <w:pPr>
        <w:pStyle w:val="Heading1"/>
        <w:rPr>
          <w:rFonts w:asciiTheme="minorHAnsi" w:hAnsiTheme="minorHAnsi"/>
        </w:rPr>
      </w:pPr>
      <w:r w:rsidRPr="007C5894">
        <w:rPr>
          <w:rFonts w:asciiTheme="minorHAnsi" w:hAnsiTheme="minorHAnsi"/>
        </w:rPr>
        <w:t xml:space="preserve">BLVK </w:t>
      </w:r>
    </w:p>
    <w:p w14:paraId="3D5B27FD" w14:textId="1A731667" w:rsidR="00AE066A" w:rsidRPr="00AE066A" w:rsidRDefault="00AE066A" w:rsidP="00AE066A">
      <w:r>
        <w:t xml:space="preserve">Below is the estimation logic we apply to </w:t>
      </w:r>
      <w:r w:rsidRPr="003515F5">
        <w:t xml:space="preserve">Bernische </w:t>
      </w:r>
      <w:proofErr w:type="spellStart"/>
      <w:r w:rsidR="00D70651">
        <w:t>Lehrerversicherungskasse</w:t>
      </w:r>
      <w:r>
        <w:t>’s</w:t>
      </w:r>
      <w:proofErr w:type="spellEnd"/>
      <w:r>
        <w:t xml:space="preserve"> (B</w:t>
      </w:r>
      <w:r>
        <w:t>LV</w:t>
      </w:r>
      <w:r>
        <w:t>K) portfolio</w:t>
      </w:r>
      <w:r>
        <w:t xml:space="preserve">. </w:t>
      </w:r>
      <w:r w:rsidRPr="007C5894">
        <w:t xml:space="preserve">From BLVK’s </w:t>
      </w:r>
      <w:r>
        <w:t>2024 Gesch</w:t>
      </w:r>
      <w:r w:rsidRPr="00B75900">
        <w:t>äf</w:t>
      </w:r>
      <w:r>
        <w:t>tsbericht</w:t>
      </w:r>
      <w:r>
        <w:rPr>
          <w:rStyle w:val="FootnoteReference"/>
        </w:rPr>
        <w:footnoteReference w:id="1"/>
      </w:r>
      <w:r>
        <w:t xml:space="preserve"> and the Anlagereglement</w:t>
      </w:r>
      <w:r>
        <w:rPr>
          <w:rStyle w:val="FootnoteReference"/>
        </w:rPr>
        <w:footnoteReference w:id="2"/>
      </w:r>
      <w:r>
        <w:t xml:space="preserve"> as of January 2025</w:t>
      </w:r>
      <w:r w:rsidRPr="007C5894">
        <w:t xml:space="preserve">, the equity </w:t>
      </w:r>
      <w:r w:rsidR="00D70651">
        <w:t xml:space="preserve">and bonds </w:t>
      </w:r>
      <w:r w:rsidRPr="007C5894">
        <w:t>part</w:t>
      </w:r>
      <w:r w:rsidR="00D70651">
        <w:t>s</w:t>
      </w:r>
      <w:r w:rsidRPr="007C5894">
        <w:t xml:space="preserve"> </w:t>
      </w:r>
      <w:r w:rsidR="00D70651">
        <w:t xml:space="preserve">are </w:t>
      </w:r>
      <w:r>
        <w:t>estimated using benchmarks and proxy funds</w:t>
      </w:r>
      <w:r w:rsidRPr="007C5894">
        <w:t>.</w:t>
      </w:r>
      <w:r>
        <w:t xml:space="preserve"> </w:t>
      </w:r>
      <w:r w:rsidR="00D70651">
        <w:t>Regarding exclusions, BLVK uses SVVK’s exclusion list and provides a separate list of companies the pension fund does not invest in. We use the two lists in our replication strategy.</w:t>
      </w:r>
    </w:p>
    <w:p w14:paraId="54C35C18" w14:textId="64354181" w:rsidR="00C77B5E" w:rsidRPr="007C5894" w:rsidRDefault="002E21ED" w:rsidP="002E21ED">
      <w:pPr>
        <w:pStyle w:val="Heading2"/>
        <w:rPr>
          <w:rFonts w:asciiTheme="minorHAnsi" w:hAnsiTheme="minorHAnsi"/>
        </w:rPr>
      </w:pPr>
      <w:r w:rsidRPr="007C5894">
        <w:rPr>
          <w:rFonts w:asciiTheme="minorHAnsi" w:hAnsiTheme="minorHAnsi"/>
        </w:rPr>
        <w:t>E</w:t>
      </w:r>
      <w:r w:rsidR="005E0996" w:rsidRPr="007C5894">
        <w:rPr>
          <w:rFonts w:asciiTheme="minorHAnsi" w:hAnsiTheme="minorHAnsi"/>
        </w:rPr>
        <w:t>quity</w:t>
      </w:r>
    </w:p>
    <w:p w14:paraId="6053E2FC" w14:textId="01F5A331" w:rsidR="00516CB8" w:rsidRDefault="00516CB8" w:rsidP="00516CB8">
      <w:pPr>
        <w:pStyle w:val="Heading3"/>
      </w:pPr>
      <w:proofErr w:type="spellStart"/>
      <w:r>
        <w:t>Aktien</w:t>
      </w:r>
      <w:proofErr w:type="spellEnd"/>
      <w:r>
        <w:t xml:space="preserve"> Schweiz</w:t>
      </w:r>
    </w:p>
    <w:p w14:paraId="36504846" w14:textId="038354AB" w:rsidR="005E0996" w:rsidRDefault="0025030E" w:rsidP="00516CB8">
      <w:r>
        <w:t xml:space="preserve">Using these disclosures, we split </w:t>
      </w:r>
      <w:proofErr w:type="spellStart"/>
      <w:r w:rsidRPr="0025030E">
        <w:t>Aktien</w:t>
      </w:r>
      <w:proofErr w:type="spellEnd"/>
      <w:r w:rsidRPr="0025030E">
        <w:t xml:space="preserve"> Schweiz into CH Large + CH Small/Mid</w:t>
      </w:r>
      <w:r>
        <w:t>.</w:t>
      </w:r>
    </w:p>
    <w:p w14:paraId="1AB16AEF" w14:textId="62AD18CE" w:rsidR="0025030E" w:rsidRDefault="00D16097" w:rsidP="0025030E">
      <w:r>
        <w:t xml:space="preserve">Given that BLVK does disclose the exact percentage split in its 2025 </w:t>
      </w:r>
      <w:r>
        <w:t>Gesch</w:t>
      </w:r>
      <w:r w:rsidRPr="00B75900">
        <w:t>äf</w:t>
      </w:r>
      <w:r>
        <w:t>tsbericht</w:t>
      </w:r>
      <w:r>
        <w:t xml:space="preserve"> , we use </w:t>
      </w:r>
      <w:r w:rsidR="0025030E">
        <w:t xml:space="preserve">the targets in </w:t>
      </w:r>
      <w:r w:rsidR="00516CB8">
        <w:t xml:space="preserve">the </w:t>
      </w:r>
      <w:proofErr w:type="spellStart"/>
      <w:r w:rsidR="0025030E">
        <w:t>Anlagestrategie</w:t>
      </w:r>
      <w:proofErr w:type="spellEnd"/>
      <w:r>
        <w:t xml:space="preserve"> instead</w:t>
      </w:r>
      <w:r w:rsidR="0025030E">
        <w:t>:</w:t>
      </w:r>
    </w:p>
    <w:p w14:paraId="0B9C98AB" w14:textId="77777777" w:rsidR="0025030E" w:rsidRDefault="0025030E" w:rsidP="0025030E">
      <w:pPr>
        <w:pStyle w:val="ListParagraph"/>
        <w:numPr>
          <w:ilvl w:val="0"/>
          <w:numId w:val="9"/>
        </w:numPr>
      </w:pPr>
      <w:r>
        <w:t>CH Large = 9.5</w:t>
      </w:r>
    </w:p>
    <w:p w14:paraId="0CE1E0CB" w14:textId="35474E88" w:rsidR="0025030E" w:rsidRDefault="0025030E" w:rsidP="0025030E">
      <w:pPr>
        <w:pStyle w:val="ListParagraph"/>
        <w:numPr>
          <w:ilvl w:val="0"/>
          <w:numId w:val="9"/>
        </w:numPr>
      </w:pPr>
      <w:r>
        <w:t>CH Small &amp; Mid = 2.5</w:t>
      </w:r>
    </w:p>
    <w:p w14:paraId="6DF76ECE" w14:textId="541BAFA1" w:rsidR="0025030E" w:rsidRDefault="00516CB8" w:rsidP="0025030E">
      <w:r>
        <w:t xml:space="preserve">Thus, </w:t>
      </w:r>
      <w:r w:rsidR="0025030E">
        <w:t>inside “</w:t>
      </w:r>
      <w:proofErr w:type="spellStart"/>
      <w:r w:rsidR="0025030E">
        <w:t>Aktien</w:t>
      </w:r>
      <w:proofErr w:type="spellEnd"/>
      <w:r w:rsidR="0025030E">
        <w:t xml:space="preserve"> Schweiz” (12.0 total), the proportions are:</w:t>
      </w:r>
    </w:p>
    <w:p w14:paraId="4918CE77" w14:textId="77777777" w:rsidR="0025030E" w:rsidRDefault="0025030E" w:rsidP="0025030E">
      <w:pPr>
        <w:pStyle w:val="ListParagraph"/>
        <w:numPr>
          <w:ilvl w:val="0"/>
          <w:numId w:val="9"/>
        </w:numPr>
      </w:pPr>
      <w:r>
        <w:t>CH Large share = 9.5 / 12.0 = 79.17%</w:t>
      </w:r>
    </w:p>
    <w:p w14:paraId="4A51B965" w14:textId="319F58A7" w:rsidR="0025030E" w:rsidRDefault="0025030E" w:rsidP="0025030E">
      <w:pPr>
        <w:pStyle w:val="ListParagraph"/>
        <w:numPr>
          <w:ilvl w:val="0"/>
          <w:numId w:val="9"/>
        </w:numPr>
      </w:pPr>
      <w:r>
        <w:t>CH Small/Mid share = 2.5 / 12.0 = 20.83%</w:t>
      </w:r>
    </w:p>
    <w:p w14:paraId="5FFB8069" w14:textId="5D10006B" w:rsidR="0025030E" w:rsidRPr="0025030E" w:rsidRDefault="0025030E" w:rsidP="0025030E">
      <w:r w:rsidRPr="0025030E">
        <w:t xml:space="preserve">Give that </w:t>
      </w:r>
      <w:proofErr w:type="spellStart"/>
      <w:r w:rsidRPr="0025030E">
        <w:t>Aktien</w:t>
      </w:r>
      <w:proofErr w:type="spellEnd"/>
      <w:r w:rsidRPr="0025030E">
        <w:t xml:space="preserve"> Schweiz as of December 2024 = CHF 1,060,799,708</w:t>
      </w:r>
    </w:p>
    <w:p w14:paraId="23CA235D" w14:textId="7DA2814C" w:rsidR="0025030E" w:rsidRDefault="0025030E" w:rsidP="0025030E">
      <w:r>
        <w:t>We estimate that:</w:t>
      </w:r>
    </w:p>
    <w:p w14:paraId="2E226A71" w14:textId="010C3648" w:rsidR="0025030E" w:rsidRDefault="0025030E" w:rsidP="0025030E">
      <w:pPr>
        <w:pStyle w:val="ListParagraph"/>
        <w:numPr>
          <w:ilvl w:val="0"/>
          <w:numId w:val="9"/>
        </w:numPr>
      </w:pPr>
      <w:r>
        <w:t>CH Large ≈ 1,060,799,708 × 0.7917 ≈ CHF 839.8m</w:t>
      </w:r>
    </w:p>
    <w:p w14:paraId="7048E964" w14:textId="2F72B295" w:rsidR="0025030E" w:rsidRDefault="0025030E" w:rsidP="0025030E">
      <w:pPr>
        <w:pStyle w:val="ListParagraph"/>
        <w:numPr>
          <w:ilvl w:val="0"/>
          <w:numId w:val="9"/>
        </w:numPr>
      </w:pPr>
      <w:r>
        <w:lastRenderedPageBreak/>
        <w:t>CH Small/Mid ≈ 1,060,799,708 × 0.2083 ≈ CHF 221.0m</w:t>
      </w:r>
    </w:p>
    <w:p w14:paraId="031917E5" w14:textId="0641641F" w:rsidR="00516CB8" w:rsidRDefault="00516CB8" w:rsidP="00516CB8">
      <w:pPr>
        <w:pStyle w:val="Heading3"/>
      </w:pPr>
      <w:proofErr w:type="spellStart"/>
      <w:r>
        <w:t>Aktien</w:t>
      </w:r>
      <w:proofErr w:type="spellEnd"/>
      <w:r>
        <w:t xml:space="preserve"> Ausland</w:t>
      </w:r>
    </w:p>
    <w:p w14:paraId="256E85EE" w14:textId="2A0FC3AC" w:rsidR="00516CB8" w:rsidRDefault="00516CB8" w:rsidP="00516CB8">
      <w:r>
        <w:t xml:space="preserve">We also split </w:t>
      </w:r>
      <w:proofErr w:type="spellStart"/>
      <w:r>
        <w:t>Aktien</w:t>
      </w:r>
      <w:proofErr w:type="spellEnd"/>
      <w:r>
        <w:t xml:space="preserve"> Ausland into Developed Large/Mid + Developed Small Cap</w:t>
      </w:r>
    </w:p>
    <w:p w14:paraId="1C14B72E" w14:textId="60DE5482" w:rsidR="00516CB8" w:rsidRDefault="00516CB8" w:rsidP="00516CB8">
      <w:r>
        <w:t xml:space="preserve">From the targets in the </w:t>
      </w:r>
      <w:proofErr w:type="spellStart"/>
      <w:r>
        <w:t>Anlagestrategie</w:t>
      </w:r>
      <w:proofErr w:type="spellEnd"/>
      <w:r>
        <w:t>:</w:t>
      </w:r>
    </w:p>
    <w:p w14:paraId="47903751" w14:textId="77777777" w:rsidR="00516CB8" w:rsidRDefault="00516CB8" w:rsidP="00516CB8">
      <w:pPr>
        <w:pStyle w:val="ListParagraph"/>
        <w:numPr>
          <w:ilvl w:val="0"/>
          <w:numId w:val="9"/>
        </w:numPr>
      </w:pPr>
      <w:r>
        <w:t>Developed (MSCI World ex CH) = 20.5</w:t>
      </w:r>
    </w:p>
    <w:p w14:paraId="0EB63B3A" w14:textId="6FC7302E" w:rsidR="00516CB8" w:rsidRDefault="00516CB8" w:rsidP="00516CB8">
      <w:pPr>
        <w:pStyle w:val="ListParagraph"/>
        <w:numPr>
          <w:ilvl w:val="0"/>
          <w:numId w:val="9"/>
        </w:numPr>
      </w:pPr>
      <w:r>
        <w:t>Developed Small Cap = 3.0</w:t>
      </w:r>
    </w:p>
    <w:p w14:paraId="3D95AEAC" w14:textId="400E776D" w:rsidR="00516CB8" w:rsidRDefault="00516CB8" w:rsidP="00516CB8">
      <w:r>
        <w:t>Thus, inside “</w:t>
      </w:r>
      <w:proofErr w:type="spellStart"/>
      <w:r>
        <w:t>Aktien</w:t>
      </w:r>
      <w:proofErr w:type="spellEnd"/>
      <w:r>
        <w:t xml:space="preserve"> Ausland” (23.5 total), proportions are:</w:t>
      </w:r>
    </w:p>
    <w:p w14:paraId="1EEB4171" w14:textId="77777777" w:rsidR="00516CB8" w:rsidRDefault="00516CB8" w:rsidP="00516CB8">
      <w:pPr>
        <w:pStyle w:val="ListParagraph"/>
        <w:numPr>
          <w:ilvl w:val="0"/>
          <w:numId w:val="9"/>
        </w:numPr>
      </w:pPr>
      <w:r>
        <w:t>Developed Large/Mid share = 20.5 / 23.5 = 87.23%</w:t>
      </w:r>
    </w:p>
    <w:p w14:paraId="3EE3449F" w14:textId="275264A1" w:rsidR="00516CB8" w:rsidRDefault="00516CB8" w:rsidP="00516CB8">
      <w:pPr>
        <w:pStyle w:val="ListParagraph"/>
        <w:numPr>
          <w:ilvl w:val="0"/>
          <w:numId w:val="9"/>
        </w:numPr>
      </w:pPr>
      <w:r>
        <w:t>Developed Small Cap share = 3.0 / 23.5 = 12.77%</w:t>
      </w:r>
    </w:p>
    <w:p w14:paraId="2FCC620D" w14:textId="77777777" w:rsidR="00516CB8" w:rsidRDefault="00516CB8" w:rsidP="00516CB8"/>
    <w:p w14:paraId="2F2354D3" w14:textId="67227A4B" w:rsidR="00516CB8" w:rsidRDefault="00516CB8" w:rsidP="002247BF">
      <w:r>
        <w:t xml:space="preserve">Given that </w:t>
      </w:r>
      <w:proofErr w:type="spellStart"/>
      <w:r>
        <w:t>Aktien</w:t>
      </w:r>
      <w:proofErr w:type="spellEnd"/>
      <w:r>
        <w:t xml:space="preserve"> Ausland = CHF 2,225,809,655</w:t>
      </w:r>
    </w:p>
    <w:p w14:paraId="4111087A" w14:textId="77777777" w:rsidR="002247BF" w:rsidRDefault="002247BF" w:rsidP="002247BF">
      <w:r>
        <w:t>We estimate that</w:t>
      </w:r>
      <w:r w:rsidR="00516CB8">
        <w:t>:</w:t>
      </w:r>
    </w:p>
    <w:p w14:paraId="265EDC8D" w14:textId="77777777" w:rsidR="002247BF" w:rsidRDefault="00516CB8" w:rsidP="00516CB8">
      <w:pPr>
        <w:pStyle w:val="ListParagraph"/>
        <w:numPr>
          <w:ilvl w:val="0"/>
          <w:numId w:val="9"/>
        </w:numPr>
      </w:pPr>
      <w:r>
        <w:t>Ausland Large/Mid ≈ 2,225,809,655 × 0.8723 ≈ CHF 1,941.5m</w:t>
      </w:r>
    </w:p>
    <w:p w14:paraId="26B2E299" w14:textId="2A7D5CD3" w:rsidR="0025030E" w:rsidRDefault="00516CB8" w:rsidP="00516CB8">
      <w:pPr>
        <w:pStyle w:val="ListParagraph"/>
        <w:numPr>
          <w:ilvl w:val="0"/>
          <w:numId w:val="9"/>
        </w:numPr>
      </w:pPr>
      <w:r>
        <w:t>Ausland Small Cap ≈ 2,225,809,655 × 0.1277 ≈ CHF 284.3m</w:t>
      </w:r>
    </w:p>
    <w:p w14:paraId="4BE12165" w14:textId="77777777" w:rsidR="002247BF" w:rsidRPr="0025030E" w:rsidRDefault="002247BF" w:rsidP="00DF2901"/>
    <w:tbl>
      <w:tblPr>
        <w:tblStyle w:val="ListTable3-Accent1"/>
        <w:tblW w:w="9535" w:type="dxa"/>
        <w:tblLook w:val="04A0" w:firstRow="1" w:lastRow="0" w:firstColumn="1" w:lastColumn="0" w:noHBand="0" w:noVBand="1"/>
      </w:tblPr>
      <w:tblGrid>
        <w:gridCol w:w="2245"/>
        <w:gridCol w:w="1530"/>
        <w:gridCol w:w="1980"/>
        <w:gridCol w:w="2213"/>
        <w:gridCol w:w="1567"/>
      </w:tblGrid>
      <w:tr w:rsidR="00843B71" w:rsidRPr="00B12555" w14:paraId="48BEA69E" w14:textId="24E73637" w:rsidTr="00D5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hideMark/>
          </w:tcPr>
          <w:p w14:paraId="1F58E65D" w14:textId="5B6F851C" w:rsidR="00843B71" w:rsidRPr="001F5F29" w:rsidRDefault="00843B71" w:rsidP="0099193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Asset Class</w:t>
            </w:r>
          </w:p>
        </w:tc>
        <w:tc>
          <w:tcPr>
            <w:tcW w:w="1530" w:type="dxa"/>
            <w:hideMark/>
          </w:tcPr>
          <w:p w14:paraId="308A3A67" w14:textId="425A5CE3" w:rsidR="00843B71" w:rsidRPr="00B12555" w:rsidRDefault="00843B71" w:rsidP="00991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% </w:t>
            </w:r>
            <w:r w:rsidR="00B759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Allocation</w:t>
            </w:r>
            <w:r w:rsidR="003E4C6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*</w:t>
            </w:r>
          </w:p>
        </w:tc>
        <w:tc>
          <w:tcPr>
            <w:tcW w:w="1980" w:type="dxa"/>
            <w:hideMark/>
          </w:tcPr>
          <w:p w14:paraId="41EF593C" w14:textId="7DA3B850" w:rsidR="00843B71" w:rsidRPr="00B12555" w:rsidRDefault="00843B71" w:rsidP="00991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Benchmark</w:t>
            </w:r>
          </w:p>
        </w:tc>
        <w:tc>
          <w:tcPr>
            <w:tcW w:w="2213" w:type="dxa"/>
            <w:hideMark/>
          </w:tcPr>
          <w:p w14:paraId="163F2825" w14:textId="77777777" w:rsidR="00843B71" w:rsidRPr="00B12555" w:rsidRDefault="00843B71" w:rsidP="00991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Proxy used</w:t>
            </w:r>
          </w:p>
        </w:tc>
        <w:tc>
          <w:tcPr>
            <w:tcW w:w="1567" w:type="dxa"/>
          </w:tcPr>
          <w:p w14:paraId="5517A6FC" w14:textId="139D28CA" w:rsidR="00843B71" w:rsidRPr="00843B71" w:rsidRDefault="00F93234" w:rsidP="00991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CHF (bn)**</w:t>
            </w:r>
          </w:p>
        </w:tc>
      </w:tr>
      <w:tr w:rsidR="00843B71" w:rsidRPr="00B12555" w14:paraId="49AA81CA" w14:textId="076DE492" w:rsidTr="00D5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550ADAA2" w14:textId="553407ED" w:rsidR="00843B71" w:rsidRPr="00B12555" w:rsidRDefault="00843B71" w:rsidP="00B1255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 Large</w:t>
            </w:r>
          </w:p>
        </w:tc>
        <w:tc>
          <w:tcPr>
            <w:tcW w:w="1530" w:type="dxa"/>
            <w:hideMark/>
          </w:tcPr>
          <w:p w14:paraId="1C724D86" w14:textId="77777777" w:rsidR="00843B71" w:rsidRPr="00B12555" w:rsidRDefault="00843B71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9.5%</w:t>
            </w:r>
          </w:p>
        </w:tc>
        <w:tc>
          <w:tcPr>
            <w:tcW w:w="1980" w:type="dxa"/>
            <w:hideMark/>
          </w:tcPr>
          <w:p w14:paraId="6814CAE5" w14:textId="20124CB1" w:rsidR="00843B71" w:rsidRPr="00B12555" w:rsidRDefault="00843B71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SPI20 (TR)</w:t>
            </w:r>
            <w:r>
              <w:rPr>
                <w:rStyle w:val="FootnoteReference"/>
                <w:rFonts w:ascii="Times New Roman" w:eastAsia="Times New Roman" w:hAnsi="Times New Roman" w:cs="Times New Roman"/>
                <w:kern w:val="0"/>
                <w14:ligatures w14:val="none"/>
              </w:rPr>
              <w:footnoteReference w:id="3"/>
            </w:r>
          </w:p>
        </w:tc>
        <w:tc>
          <w:tcPr>
            <w:tcW w:w="2213" w:type="dxa"/>
            <w:hideMark/>
          </w:tcPr>
          <w:p w14:paraId="00B89C65" w14:textId="3F64E56C" w:rsidR="00843B71" w:rsidRPr="00B12555" w:rsidRDefault="00843B71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SMI ETF (CH)</w:t>
            </w:r>
          </w:p>
        </w:tc>
        <w:tc>
          <w:tcPr>
            <w:tcW w:w="1567" w:type="dxa"/>
          </w:tcPr>
          <w:p w14:paraId="1DE67268" w14:textId="011DB384" w:rsidR="00843B71" w:rsidRPr="00B12555" w:rsidRDefault="003A3419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34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CHF 0.8</w:t>
            </w:r>
            <w:r w:rsidR="00B64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Pr="003A34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bn</w:t>
            </w:r>
          </w:p>
        </w:tc>
      </w:tr>
      <w:tr w:rsidR="00843B71" w:rsidRPr="00B12555" w14:paraId="0B705A9D" w14:textId="2CBFD08E" w:rsidTr="00D5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2D41ED16" w14:textId="1F514474" w:rsidR="00843B71" w:rsidRPr="00B12555" w:rsidRDefault="00843B71" w:rsidP="00B1255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 Small &amp; Mid Cap</w:t>
            </w:r>
          </w:p>
        </w:tc>
        <w:tc>
          <w:tcPr>
            <w:tcW w:w="1530" w:type="dxa"/>
            <w:hideMark/>
          </w:tcPr>
          <w:p w14:paraId="55314280" w14:textId="77777777" w:rsidR="00843B71" w:rsidRPr="00B12555" w:rsidRDefault="00843B71" w:rsidP="00991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2.5%</w:t>
            </w:r>
          </w:p>
        </w:tc>
        <w:tc>
          <w:tcPr>
            <w:tcW w:w="1980" w:type="dxa"/>
            <w:hideMark/>
          </w:tcPr>
          <w:p w14:paraId="5DD11CB6" w14:textId="77777777" w:rsidR="00843B71" w:rsidRPr="00B12555" w:rsidRDefault="00843B71" w:rsidP="00991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SPIextra</w:t>
            </w:r>
            <w:proofErr w:type="spellEnd"/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(TR)</w:t>
            </w:r>
          </w:p>
        </w:tc>
        <w:tc>
          <w:tcPr>
            <w:tcW w:w="2213" w:type="dxa"/>
            <w:hideMark/>
          </w:tcPr>
          <w:p w14:paraId="3A4767C1" w14:textId="77777777" w:rsidR="00843B71" w:rsidRPr="00B12555" w:rsidRDefault="00843B71" w:rsidP="00B1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Reconstructed SPI Extra from iShares Core SPI ETF</w:t>
            </w:r>
          </w:p>
        </w:tc>
        <w:tc>
          <w:tcPr>
            <w:tcW w:w="1567" w:type="dxa"/>
          </w:tcPr>
          <w:p w14:paraId="55B0AA15" w14:textId="24C6AF10" w:rsidR="00843B71" w:rsidRPr="00B12555" w:rsidRDefault="00843B71" w:rsidP="00B1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3B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CHF 0.2</w:t>
            </w:r>
            <w:r w:rsidR="00B64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843B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bn</w:t>
            </w:r>
          </w:p>
        </w:tc>
      </w:tr>
      <w:tr w:rsidR="00843B71" w:rsidRPr="00B12555" w14:paraId="087FBDB4" w14:textId="7579C0F1" w:rsidTr="00D5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705102B0" w14:textId="7D33127E" w:rsidR="00843B71" w:rsidRPr="00B12555" w:rsidRDefault="00843B71" w:rsidP="00B1255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entwickelte</w:t>
            </w:r>
            <w:proofErr w:type="spellEnd"/>
            <w:r w:rsidRPr="00F70F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Länder</w:t>
            </w:r>
          </w:p>
        </w:tc>
        <w:tc>
          <w:tcPr>
            <w:tcW w:w="1530" w:type="dxa"/>
            <w:hideMark/>
          </w:tcPr>
          <w:p w14:paraId="6EE108FB" w14:textId="77777777" w:rsidR="00843B71" w:rsidRPr="00B12555" w:rsidRDefault="00843B71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20.5%</w:t>
            </w:r>
          </w:p>
        </w:tc>
        <w:tc>
          <w:tcPr>
            <w:tcW w:w="1980" w:type="dxa"/>
            <w:hideMark/>
          </w:tcPr>
          <w:p w14:paraId="4A226684" w14:textId="77777777" w:rsidR="00843B71" w:rsidRPr="00B12555" w:rsidRDefault="00843B71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MSCI World ex CH (TR)</w:t>
            </w:r>
          </w:p>
        </w:tc>
        <w:tc>
          <w:tcPr>
            <w:tcW w:w="2213" w:type="dxa"/>
            <w:hideMark/>
          </w:tcPr>
          <w:p w14:paraId="24C3ADFF" w14:textId="3C8C6323" w:rsidR="00843B71" w:rsidRPr="00B12555" w:rsidRDefault="00E9652B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65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World ex Switzerland Equity Index Fund (CH)</w:t>
            </w:r>
          </w:p>
        </w:tc>
        <w:tc>
          <w:tcPr>
            <w:tcW w:w="1567" w:type="dxa"/>
          </w:tcPr>
          <w:p w14:paraId="5AEBCB2B" w14:textId="5289EA5B" w:rsidR="00843B71" w:rsidRPr="00B12555" w:rsidRDefault="00843B71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3B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CHF 1.9</w:t>
            </w:r>
            <w:r w:rsidR="00B64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Pr="00843B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bn</w:t>
            </w:r>
          </w:p>
        </w:tc>
      </w:tr>
      <w:tr w:rsidR="00843B71" w:rsidRPr="00B12555" w14:paraId="1672ED87" w14:textId="22DE26EF" w:rsidTr="00D5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279D66A7" w14:textId="586CB0AF" w:rsidR="00843B71" w:rsidRPr="00F70FD9" w:rsidRDefault="00843B71" w:rsidP="00B12555">
            <w:pPr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F70FD9"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  <w:t>Aktien entwickelte Länder Small Cap</w:t>
            </w:r>
          </w:p>
        </w:tc>
        <w:tc>
          <w:tcPr>
            <w:tcW w:w="1530" w:type="dxa"/>
            <w:hideMark/>
          </w:tcPr>
          <w:p w14:paraId="5C77DA5A" w14:textId="77777777" w:rsidR="00843B71" w:rsidRPr="00B12555" w:rsidRDefault="00843B71" w:rsidP="00991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3.0%</w:t>
            </w:r>
          </w:p>
        </w:tc>
        <w:tc>
          <w:tcPr>
            <w:tcW w:w="1980" w:type="dxa"/>
            <w:hideMark/>
          </w:tcPr>
          <w:p w14:paraId="7D0085AF" w14:textId="77777777" w:rsidR="00843B71" w:rsidRPr="00B12555" w:rsidRDefault="00843B71" w:rsidP="00991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25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MSCI World Small Cap ex CH (TR)</w:t>
            </w:r>
          </w:p>
        </w:tc>
        <w:tc>
          <w:tcPr>
            <w:tcW w:w="2213" w:type="dxa"/>
            <w:hideMark/>
          </w:tcPr>
          <w:p w14:paraId="1815865C" w14:textId="2C5A2318" w:rsidR="00843B71" w:rsidRPr="00B12555" w:rsidRDefault="001378BD" w:rsidP="00B1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78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Swisscanto (CH) Index Equity Fund Small Cap World ex CH</w:t>
            </w:r>
          </w:p>
        </w:tc>
        <w:tc>
          <w:tcPr>
            <w:tcW w:w="1567" w:type="dxa"/>
          </w:tcPr>
          <w:p w14:paraId="3F887165" w14:textId="51280306" w:rsidR="00843B71" w:rsidRPr="00B12555" w:rsidRDefault="003A3419" w:rsidP="00B1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34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CHF 0.28 bn</w:t>
            </w:r>
          </w:p>
        </w:tc>
      </w:tr>
      <w:tr w:rsidR="00991935" w:rsidRPr="00B12555" w14:paraId="4D9CDD1C" w14:textId="77777777" w:rsidTr="00D5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D6820A5" w14:textId="4B6B7FCC" w:rsidR="00991935" w:rsidRPr="00F70FD9" w:rsidRDefault="00F30478" w:rsidP="00B12555">
            <w:pPr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  <w:t xml:space="preserve">BLVK </w:t>
            </w:r>
            <w:r w:rsidR="00991935"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  <w:t>Total</w:t>
            </w:r>
            <w:r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  <w:t xml:space="preserve"> Equity</w:t>
            </w:r>
          </w:p>
        </w:tc>
        <w:tc>
          <w:tcPr>
            <w:tcW w:w="1530" w:type="dxa"/>
          </w:tcPr>
          <w:p w14:paraId="2EB944DE" w14:textId="6132EDCD" w:rsidR="00991935" w:rsidRPr="00991935" w:rsidRDefault="00991935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19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35.5%</w:t>
            </w:r>
          </w:p>
        </w:tc>
        <w:tc>
          <w:tcPr>
            <w:tcW w:w="1980" w:type="dxa"/>
          </w:tcPr>
          <w:p w14:paraId="1493B3D8" w14:textId="77777777" w:rsidR="00991935" w:rsidRPr="00991935" w:rsidRDefault="00991935" w:rsidP="00991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213" w:type="dxa"/>
          </w:tcPr>
          <w:p w14:paraId="01672BFB" w14:textId="77777777" w:rsidR="00991935" w:rsidRPr="00991935" w:rsidRDefault="00991935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67" w:type="dxa"/>
          </w:tcPr>
          <w:p w14:paraId="6E0EECBC" w14:textId="0C5D8131" w:rsidR="00991935" w:rsidRPr="00991935" w:rsidRDefault="00991935" w:rsidP="00B1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19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CHF 3.29 bn</w:t>
            </w:r>
          </w:p>
        </w:tc>
      </w:tr>
    </w:tbl>
    <w:p w14:paraId="572E0119" w14:textId="64E92B62" w:rsidR="003E4C6D" w:rsidRPr="003E4C6D" w:rsidRDefault="003E4C6D" w:rsidP="003E4C6D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3E4C6D">
        <w:rPr>
          <w:i/>
          <w:iCs/>
          <w:sz w:val="20"/>
          <w:szCs w:val="20"/>
        </w:rPr>
        <w:t xml:space="preserve">* </w:t>
      </w:r>
      <w:r w:rsidR="00B64796">
        <w:rPr>
          <w:i/>
          <w:iCs/>
          <w:sz w:val="20"/>
          <w:szCs w:val="20"/>
        </w:rPr>
        <w:t xml:space="preserve">Target </w:t>
      </w:r>
      <w:r w:rsidRPr="003E4C6D">
        <w:rPr>
          <w:i/>
          <w:iCs/>
          <w:sz w:val="20"/>
          <w:szCs w:val="20"/>
        </w:rPr>
        <w:t>allocation</w:t>
      </w:r>
      <w:r w:rsidR="00B64796">
        <w:rPr>
          <w:i/>
          <w:iCs/>
          <w:sz w:val="20"/>
          <w:szCs w:val="20"/>
        </w:rPr>
        <w:t>s</w:t>
      </w:r>
    </w:p>
    <w:p w14:paraId="45A2D576" w14:textId="1E7F657C" w:rsidR="00B12555" w:rsidRPr="00FD2F05" w:rsidRDefault="003E4C6D" w:rsidP="00F3047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lang w:bidi="ar-SY"/>
        </w:rPr>
      </w:pPr>
      <w:r w:rsidRPr="003E4C6D">
        <w:rPr>
          <w:i/>
          <w:iCs/>
          <w:sz w:val="20"/>
          <w:szCs w:val="20"/>
        </w:rPr>
        <w:lastRenderedPageBreak/>
        <w:t xml:space="preserve">** </w:t>
      </w:r>
      <w:r w:rsidR="004F6DCC" w:rsidRPr="004F6DCC">
        <w:rPr>
          <w:i/>
          <w:iCs/>
          <w:sz w:val="20"/>
          <w:szCs w:val="20"/>
        </w:rPr>
        <w:t>Estimated sub-allocation based on pro-rata scaling of strategic target weights within the equity bucket</w:t>
      </w:r>
      <w:r w:rsidR="004F6DCC">
        <w:rPr>
          <w:i/>
          <w:iCs/>
          <w:sz w:val="20"/>
          <w:szCs w:val="20"/>
        </w:rPr>
        <w:t xml:space="preserve"> (see above)</w:t>
      </w:r>
      <w:r w:rsidR="004F6DCC" w:rsidRPr="004F6DCC">
        <w:rPr>
          <w:i/>
          <w:iCs/>
          <w:sz w:val="20"/>
          <w:szCs w:val="20"/>
        </w:rPr>
        <w:t>; actual implementation may deviate</w:t>
      </w:r>
      <w:r w:rsidR="004F6DCC">
        <w:rPr>
          <w:i/>
          <w:iCs/>
          <w:sz w:val="20"/>
          <w:szCs w:val="20"/>
        </w:rPr>
        <w:t>.</w:t>
      </w:r>
    </w:p>
    <w:p w14:paraId="04A51CA5" w14:textId="321A3D07" w:rsidR="00D568A2" w:rsidRDefault="00D568A2" w:rsidP="00D53EB5">
      <w:pPr>
        <w:pStyle w:val="NormalWeb"/>
        <w:jc w:val="both"/>
        <w:rPr>
          <w:rFonts w:asciiTheme="minorHAnsi" w:hAnsiTheme="minorHAnsi"/>
        </w:rPr>
      </w:pPr>
      <w:r w:rsidRPr="0032721F">
        <w:rPr>
          <w:rFonts w:asciiTheme="minorHAnsi" w:hAnsiTheme="minorHAnsi"/>
          <w:b/>
          <w:bCs/>
        </w:rPr>
        <w:t>SPI Extra</w:t>
      </w:r>
      <w:r w:rsidRPr="00A66F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(TR) </w:t>
      </w:r>
      <w:r w:rsidRPr="00A66F23">
        <w:rPr>
          <w:rFonts w:asciiTheme="minorHAnsi" w:hAnsiTheme="minorHAnsi"/>
        </w:rPr>
        <w:t>represents the Swiss equity market excluding the 20 SMI large-cap constituents.</w:t>
      </w:r>
      <w:r>
        <w:rPr>
          <w:rStyle w:val="FootnoteReference"/>
          <w:rFonts w:asciiTheme="minorHAnsi" w:hAnsiTheme="minorHAnsi"/>
        </w:rPr>
        <w:footnoteReference w:id="4"/>
      </w:r>
      <w:r>
        <w:rPr>
          <w:rFonts w:asciiTheme="minorHAnsi" w:hAnsiTheme="minorHAnsi"/>
        </w:rPr>
        <w:t xml:space="preserve"> </w:t>
      </w:r>
      <w:r w:rsidRPr="00A66F23">
        <w:rPr>
          <w:rFonts w:asciiTheme="minorHAnsi" w:hAnsiTheme="minorHAnsi"/>
        </w:rPr>
        <w:t xml:space="preserve">Due to the absence of publicly available official constituent files, the analysis relies on the SPI definition and explicit exclusion of SMI members. </w:t>
      </w:r>
      <w:r>
        <w:rPr>
          <w:rFonts w:asciiTheme="minorHAnsi" w:hAnsiTheme="minorHAnsi"/>
        </w:rPr>
        <w:t xml:space="preserve">Note: there is no ETF that directly tracks the SPI Extra. The reconstructed </w:t>
      </w:r>
      <w:r w:rsidRPr="00E423B9">
        <w:rPr>
          <w:rFonts w:asciiTheme="minorHAnsi" w:hAnsiTheme="minorHAnsi"/>
        </w:rPr>
        <w:t>SPI Extra weights were approximated by removing SMI constituents and cash positions from iShares Core SPI ETF holdings and renormali</w:t>
      </w:r>
      <w:r>
        <w:rPr>
          <w:rFonts w:asciiTheme="minorHAnsi" w:hAnsiTheme="minorHAnsi"/>
        </w:rPr>
        <w:t>z</w:t>
      </w:r>
      <w:r w:rsidRPr="00E423B9">
        <w:rPr>
          <w:rFonts w:asciiTheme="minorHAnsi" w:hAnsiTheme="minorHAnsi"/>
        </w:rPr>
        <w:t>ing the remaining equity weights. Due to ETF sampling and rounding, resulting weights do not represent official SIX SPI Extra index weights.</w:t>
      </w:r>
    </w:p>
    <w:p w14:paraId="4D488FAD" w14:textId="77777777" w:rsidR="00D568A2" w:rsidRDefault="00D568A2" w:rsidP="00D568A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new weights are calculated with the following formula:</w:t>
      </w:r>
    </w:p>
    <w:p w14:paraId="73BCC05A" w14:textId="77777777" w:rsidR="00D568A2" w:rsidRPr="00BF5808" w:rsidRDefault="00D568A2" w:rsidP="00D568A2">
      <w:pPr>
        <w:pStyle w:val="NormalWeb"/>
        <w:ind w:left="360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New</m:t>
          </m:r>
          <m:r>
            <m:rPr>
              <m:lit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weigh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Old</m:t>
              </m:r>
              <m:r>
                <m:rPr>
                  <m:lit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weigh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1-∑weights</m:t>
              </m:r>
              <m:r>
                <m:rPr>
                  <m:lit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of</m:t>
              </m:r>
              <m:r>
                <m:rPr>
                  <m:lit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SPI</m:t>
              </m:r>
              <m:r>
                <m:rPr>
                  <m:lit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14:paraId="3CBD7430" w14:textId="77777777" w:rsidR="00D568A2" w:rsidRDefault="00D568A2" w:rsidP="002E21ED">
      <w:pPr>
        <w:pStyle w:val="NormalWeb"/>
        <w:rPr>
          <w:rFonts w:asciiTheme="minorHAnsi" w:hAnsiTheme="minorHAnsi"/>
          <w:b/>
          <w:bCs/>
        </w:rPr>
      </w:pPr>
    </w:p>
    <w:p w14:paraId="7137D3A2" w14:textId="20BFB1C2" w:rsidR="008353F9" w:rsidRPr="00AE066A" w:rsidRDefault="00E860BF" w:rsidP="00AE06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60BF">
        <w:rPr>
          <w:b/>
          <w:bCs/>
        </w:rPr>
        <w:t xml:space="preserve">Note: </w:t>
      </w:r>
      <w:r w:rsidRPr="00E860BF">
        <w:t xml:space="preserve">All proxies are downloaded as of December 2025 and 2024 except for </w:t>
      </w:r>
      <w:r w:rsidRPr="00E860BF">
        <w:rPr>
          <w:rFonts w:ascii="Times New Roman" w:eastAsia="Times New Roman" w:hAnsi="Times New Roman" w:cs="Times New Roman"/>
          <w:kern w:val="0"/>
          <w14:ligatures w14:val="none"/>
        </w:rPr>
        <w:t>iShares World ex Switzerland Equity Index Fund (CH)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which </w:t>
      </w:r>
      <w:r w:rsidR="00B72C61" w:rsidRPr="00B72C61">
        <w:rPr>
          <w:rFonts w:ascii="Times New Roman" w:eastAsia="Times New Roman" w:hAnsi="Times New Roman" w:cs="Times New Roman"/>
          <w:kern w:val="0"/>
          <w14:ligatures w14:val="none"/>
        </w:rPr>
        <w:t>LSEG Data &amp; Analytics</w:t>
      </w:r>
      <w:r w:rsidR="00B72C61" w:rsidRPr="00B72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offers only as of November 2025.</w:t>
      </w:r>
    </w:p>
    <w:p w14:paraId="3CCA451A" w14:textId="26965B43" w:rsidR="002E21ED" w:rsidRDefault="002E21ED" w:rsidP="002E21ED">
      <w:pPr>
        <w:pStyle w:val="Heading2"/>
        <w:rPr>
          <w:rFonts w:asciiTheme="minorHAnsi" w:hAnsiTheme="minorHAnsi"/>
        </w:rPr>
      </w:pPr>
      <w:r w:rsidRPr="007C5894">
        <w:rPr>
          <w:rFonts w:asciiTheme="minorHAnsi" w:hAnsiTheme="minorHAnsi"/>
        </w:rPr>
        <w:t>Bonds</w:t>
      </w:r>
    </w:p>
    <w:p w14:paraId="4B347CAD" w14:textId="554C806A" w:rsidR="00925D69" w:rsidRDefault="00925D69" w:rsidP="00925D69">
      <w:pPr>
        <w:pStyle w:val="Heading3"/>
      </w:pPr>
      <w:r w:rsidRPr="00925D69">
        <w:t>Obligationen FW</w:t>
      </w:r>
    </w:p>
    <w:p w14:paraId="113726E0" w14:textId="65C35456" w:rsidR="00925D69" w:rsidRDefault="00925D69" w:rsidP="00925D69">
      <w:r>
        <w:t xml:space="preserve">We split </w:t>
      </w:r>
      <w:r w:rsidRPr="00925D69">
        <w:t>Obligationen FW</w:t>
      </w:r>
      <w:r>
        <w:t xml:space="preserve"> into </w:t>
      </w:r>
      <w:r w:rsidRPr="00925D69">
        <w:t>Global ex JPY + Global Corporate</w:t>
      </w:r>
    </w:p>
    <w:p w14:paraId="0F7D832F" w14:textId="77777777" w:rsidR="00925D69" w:rsidRDefault="00925D69" w:rsidP="00925D69">
      <w:r>
        <w:t xml:space="preserve">Using the targets in the </w:t>
      </w:r>
      <w:proofErr w:type="spellStart"/>
      <w:r>
        <w:t>Anlagestrategie</w:t>
      </w:r>
      <w:proofErr w:type="spellEnd"/>
      <w:r>
        <w:t>:</w:t>
      </w:r>
    </w:p>
    <w:p w14:paraId="48764646" w14:textId="77777777" w:rsidR="00925D69" w:rsidRDefault="00925D69" w:rsidP="00925D69">
      <w:pPr>
        <w:pStyle w:val="ListParagraph"/>
        <w:numPr>
          <w:ilvl w:val="0"/>
          <w:numId w:val="9"/>
        </w:numPr>
      </w:pPr>
      <w:r>
        <w:t>Obligationen Global ex JPY = 7.0</w:t>
      </w:r>
    </w:p>
    <w:p w14:paraId="06D0BA13" w14:textId="036B5A5D" w:rsidR="00925D69" w:rsidRDefault="00925D69" w:rsidP="00925D69">
      <w:pPr>
        <w:pStyle w:val="ListParagraph"/>
        <w:numPr>
          <w:ilvl w:val="0"/>
          <w:numId w:val="9"/>
        </w:numPr>
      </w:pPr>
      <w:r>
        <w:t xml:space="preserve">Obligationen Global </w:t>
      </w:r>
      <w:proofErr w:type="spellStart"/>
      <w:r>
        <w:t>Unternehmen</w:t>
      </w:r>
      <w:proofErr w:type="spellEnd"/>
      <w:r>
        <w:t xml:space="preserve"> = 6.0</w:t>
      </w:r>
    </w:p>
    <w:p w14:paraId="0D542DF8" w14:textId="7C72D6E0" w:rsidR="00925D69" w:rsidRDefault="00925D69" w:rsidP="00925D69">
      <w:r>
        <w:t>Thus, inside “Obligationen FW” (13.0 total), the proportions are:</w:t>
      </w:r>
    </w:p>
    <w:p w14:paraId="71743A50" w14:textId="49787D78" w:rsidR="00925D69" w:rsidRDefault="00925D69" w:rsidP="00925D69">
      <w:pPr>
        <w:pStyle w:val="ListParagraph"/>
        <w:numPr>
          <w:ilvl w:val="0"/>
          <w:numId w:val="9"/>
        </w:numPr>
      </w:pPr>
      <w:r>
        <w:t>Global ex JPY share = 7.0 / 13.0 = 53.85%</w:t>
      </w:r>
    </w:p>
    <w:p w14:paraId="510BDE0A" w14:textId="137E6C95" w:rsidR="00925D69" w:rsidRDefault="00925D69" w:rsidP="00925D69">
      <w:pPr>
        <w:pStyle w:val="ListParagraph"/>
        <w:numPr>
          <w:ilvl w:val="0"/>
          <w:numId w:val="9"/>
        </w:numPr>
      </w:pPr>
      <w:r>
        <w:t>Global Corporate share = 6.0 / 13.0 = 46.15%</w:t>
      </w:r>
    </w:p>
    <w:p w14:paraId="18D3AA58" w14:textId="77777777" w:rsidR="00925D69" w:rsidRDefault="00925D69" w:rsidP="00925D69">
      <w:r>
        <w:t>Given that Obligationen FW (Dec 2024) = CHF 998,860,081, we estimate:</w:t>
      </w:r>
    </w:p>
    <w:p w14:paraId="525D8A8E" w14:textId="77777777" w:rsidR="00925D69" w:rsidRDefault="00925D69" w:rsidP="00925D69">
      <w:pPr>
        <w:pStyle w:val="ListParagraph"/>
        <w:numPr>
          <w:ilvl w:val="0"/>
          <w:numId w:val="9"/>
        </w:numPr>
      </w:pPr>
      <w:r>
        <w:t>Global ex JPY ≈ 998,860,081 × 0.5385 ≈ CHF 537.8m</w:t>
      </w:r>
    </w:p>
    <w:p w14:paraId="123F3619" w14:textId="254E92AC" w:rsidR="00925D69" w:rsidRPr="00925D69" w:rsidRDefault="00925D69" w:rsidP="00925D69">
      <w:pPr>
        <w:pStyle w:val="ListParagraph"/>
        <w:numPr>
          <w:ilvl w:val="0"/>
          <w:numId w:val="9"/>
        </w:numPr>
      </w:pPr>
      <w:r>
        <w:t>Global Corporate ≈ 998,860,081 × 0.4615 ≈ CHF 461.0m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017"/>
        <w:gridCol w:w="1444"/>
        <w:gridCol w:w="2155"/>
        <w:gridCol w:w="2245"/>
        <w:gridCol w:w="1489"/>
      </w:tblGrid>
      <w:tr w:rsidR="00C02ADB" w:rsidRPr="00C02ADB" w14:paraId="35E704EA" w14:textId="77777777" w:rsidTr="004F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DBD27AE" w14:textId="67EBA2D9" w:rsidR="00C02ADB" w:rsidRPr="00C02ADB" w:rsidRDefault="00C02ADB" w:rsidP="00C02AD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Asset class</w:t>
            </w:r>
          </w:p>
        </w:tc>
        <w:tc>
          <w:tcPr>
            <w:tcW w:w="0" w:type="auto"/>
            <w:hideMark/>
          </w:tcPr>
          <w:p w14:paraId="3CA82FBA" w14:textId="77777777" w:rsidR="00C02ADB" w:rsidRPr="00C02ADB" w:rsidRDefault="00C02ADB" w:rsidP="00C02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 Allocation*</w:t>
            </w:r>
          </w:p>
        </w:tc>
        <w:tc>
          <w:tcPr>
            <w:tcW w:w="0" w:type="auto"/>
            <w:hideMark/>
          </w:tcPr>
          <w:p w14:paraId="1B3BD388" w14:textId="219EC9C8" w:rsidR="00C02ADB" w:rsidRPr="00C02ADB" w:rsidRDefault="00C02ADB" w:rsidP="00C02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Benchmark </w:t>
            </w:r>
          </w:p>
        </w:tc>
        <w:tc>
          <w:tcPr>
            <w:tcW w:w="2245" w:type="dxa"/>
            <w:hideMark/>
          </w:tcPr>
          <w:p w14:paraId="612EBD87" w14:textId="5E273811" w:rsidR="00C02ADB" w:rsidRPr="00C02ADB" w:rsidRDefault="00C02ADB" w:rsidP="00C02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Proxy used</w:t>
            </w:r>
          </w:p>
        </w:tc>
        <w:tc>
          <w:tcPr>
            <w:tcW w:w="0" w:type="auto"/>
            <w:hideMark/>
          </w:tcPr>
          <w:p w14:paraId="5929DBED" w14:textId="43D10020" w:rsidR="00C02ADB" w:rsidRPr="00C02ADB" w:rsidRDefault="00C02ADB" w:rsidP="00C02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CHF (bn)</w:t>
            </w:r>
            <w:r w:rsidR="006956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</w:p>
        </w:tc>
      </w:tr>
      <w:tr w:rsidR="00C02ADB" w:rsidRPr="00C02ADB" w14:paraId="75E0E7B5" w14:textId="77777777" w:rsidTr="004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B65F3" w14:textId="77777777" w:rsidR="00C02ADB" w:rsidRPr="00C02ADB" w:rsidRDefault="00C02ADB" w:rsidP="00C02A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Obligationen CHF</w:t>
            </w:r>
          </w:p>
        </w:tc>
        <w:tc>
          <w:tcPr>
            <w:tcW w:w="0" w:type="auto"/>
            <w:hideMark/>
          </w:tcPr>
          <w:p w14:paraId="6212F125" w14:textId="2A8A5582" w:rsidR="00C02ADB" w:rsidRPr="00C02ADB" w:rsidRDefault="00C02ADB" w:rsidP="00C02A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  <w:r w:rsidR="00E879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0BB9F86E" w14:textId="77777777" w:rsidR="00C02ADB" w:rsidRPr="00C02ADB" w:rsidRDefault="00C02ADB" w:rsidP="00C02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SBI AAA–BBB Total Return (TR)</w:t>
            </w:r>
          </w:p>
        </w:tc>
        <w:tc>
          <w:tcPr>
            <w:tcW w:w="2245" w:type="dxa"/>
            <w:hideMark/>
          </w:tcPr>
          <w:p w14:paraId="787C3B38" w14:textId="4565E61C" w:rsidR="00C02ADB" w:rsidRPr="00C02ADB" w:rsidRDefault="005F6726" w:rsidP="00695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672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Swiss Life Index Funds Bond Swiss Franc AAA-BBB-AM</w:t>
            </w:r>
          </w:p>
        </w:tc>
        <w:tc>
          <w:tcPr>
            <w:tcW w:w="0" w:type="auto"/>
            <w:hideMark/>
          </w:tcPr>
          <w:p w14:paraId="50F8DA70" w14:textId="77777777" w:rsidR="00C02ADB" w:rsidRPr="00C02ADB" w:rsidRDefault="00C02ADB" w:rsidP="00C02A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1.60</w:t>
            </w:r>
          </w:p>
        </w:tc>
      </w:tr>
      <w:tr w:rsidR="00C02ADB" w:rsidRPr="00C02ADB" w14:paraId="373577B6" w14:textId="77777777" w:rsidTr="004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0B79B" w14:textId="77777777" w:rsidR="00C02ADB" w:rsidRPr="00C02ADB" w:rsidRDefault="00C02ADB" w:rsidP="00C02A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 Global ex JPY</w:t>
            </w:r>
          </w:p>
        </w:tc>
        <w:tc>
          <w:tcPr>
            <w:tcW w:w="0" w:type="auto"/>
            <w:hideMark/>
          </w:tcPr>
          <w:p w14:paraId="52C0A207" w14:textId="77777777" w:rsidR="00C02ADB" w:rsidRPr="00C02ADB" w:rsidRDefault="00C02ADB" w:rsidP="00C02A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7.0%</w:t>
            </w:r>
          </w:p>
        </w:tc>
        <w:tc>
          <w:tcPr>
            <w:tcW w:w="0" w:type="auto"/>
            <w:hideMark/>
          </w:tcPr>
          <w:p w14:paraId="4314D5E3" w14:textId="77777777" w:rsidR="00C02ADB" w:rsidRPr="00C02ADB" w:rsidRDefault="00C02ADB" w:rsidP="00C02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Bloomberg Barclays Global Aggregate ex JPY (TR)</w:t>
            </w:r>
          </w:p>
        </w:tc>
        <w:tc>
          <w:tcPr>
            <w:tcW w:w="2245" w:type="dxa"/>
            <w:hideMark/>
          </w:tcPr>
          <w:p w14:paraId="115E3C29" w14:textId="71398E2B" w:rsidR="00C02ADB" w:rsidRPr="00C02ADB" w:rsidRDefault="00695625" w:rsidP="00C02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56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SPDR Bloomberg Global Aggregate Bond UCITS ETF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</w:p>
        </w:tc>
        <w:tc>
          <w:tcPr>
            <w:tcW w:w="0" w:type="auto"/>
            <w:hideMark/>
          </w:tcPr>
          <w:p w14:paraId="6736AA70" w14:textId="77777777" w:rsidR="00C02ADB" w:rsidRPr="00C02ADB" w:rsidRDefault="00C02ADB" w:rsidP="00C02A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</w:t>
            </w:r>
          </w:p>
        </w:tc>
      </w:tr>
      <w:tr w:rsidR="00C02ADB" w:rsidRPr="00C02ADB" w14:paraId="549AB0F8" w14:textId="77777777" w:rsidTr="004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E3F9C" w14:textId="77777777" w:rsidR="00C02ADB" w:rsidRPr="00C02ADB" w:rsidRDefault="00C02ADB" w:rsidP="00C02A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</w:t>
            </w:r>
            <w:proofErr w:type="gramEnd"/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Global </w:t>
            </w:r>
            <w:proofErr w:type="spellStart"/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Unternehmen</w:t>
            </w:r>
            <w:proofErr w:type="spellEnd"/>
          </w:p>
        </w:tc>
        <w:tc>
          <w:tcPr>
            <w:tcW w:w="0" w:type="auto"/>
            <w:hideMark/>
          </w:tcPr>
          <w:p w14:paraId="041B09E2" w14:textId="77777777" w:rsidR="00C02ADB" w:rsidRPr="00C02ADB" w:rsidRDefault="00C02ADB" w:rsidP="00C02A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6.0%</w:t>
            </w:r>
          </w:p>
        </w:tc>
        <w:tc>
          <w:tcPr>
            <w:tcW w:w="0" w:type="auto"/>
            <w:hideMark/>
          </w:tcPr>
          <w:p w14:paraId="1C56DE26" w14:textId="77777777" w:rsidR="00C02ADB" w:rsidRPr="00C02ADB" w:rsidRDefault="00C02ADB" w:rsidP="00C02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Bloomberg Barclays Global Aggregate Corporate (TR)</w:t>
            </w:r>
          </w:p>
        </w:tc>
        <w:tc>
          <w:tcPr>
            <w:tcW w:w="2245" w:type="dxa"/>
            <w:hideMark/>
          </w:tcPr>
          <w:p w14:paraId="4B951060" w14:textId="2D6C3A28" w:rsidR="00C02ADB" w:rsidRPr="00C02ADB" w:rsidRDefault="00695625" w:rsidP="00C02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56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Global Corporate Bond UCITS ETF</w:t>
            </w:r>
          </w:p>
        </w:tc>
        <w:tc>
          <w:tcPr>
            <w:tcW w:w="0" w:type="auto"/>
            <w:hideMark/>
          </w:tcPr>
          <w:p w14:paraId="30A21209" w14:textId="77777777" w:rsidR="00C02ADB" w:rsidRPr="00C02ADB" w:rsidRDefault="00C02ADB" w:rsidP="00C02A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</w:t>
            </w:r>
          </w:p>
        </w:tc>
      </w:tr>
      <w:tr w:rsidR="00C02ADB" w:rsidRPr="00C02ADB" w14:paraId="2C80DE4F" w14:textId="77777777" w:rsidTr="004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1D27D" w14:textId="0CBF8CDE" w:rsidR="00C02ADB" w:rsidRPr="00C02ADB" w:rsidRDefault="00C02ADB" w:rsidP="00C02A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Total </w:t>
            </w:r>
          </w:p>
        </w:tc>
        <w:tc>
          <w:tcPr>
            <w:tcW w:w="0" w:type="auto"/>
            <w:hideMark/>
          </w:tcPr>
          <w:p w14:paraId="5274BB95" w14:textId="77777777" w:rsidR="00C02ADB" w:rsidRPr="00C02ADB" w:rsidRDefault="00C02ADB" w:rsidP="00C02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4D297B" w14:textId="77777777" w:rsidR="00C02ADB" w:rsidRPr="00C02ADB" w:rsidRDefault="00C02ADB" w:rsidP="00C02A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5" w:type="dxa"/>
            <w:hideMark/>
          </w:tcPr>
          <w:p w14:paraId="223D322C" w14:textId="77777777" w:rsidR="00C02ADB" w:rsidRPr="00C02ADB" w:rsidRDefault="00C02ADB" w:rsidP="00C02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A7756" w14:textId="77777777" w:rsidR="00C02ADB" w:rsidRPr="00C02ADB" w:rsidRDefault="00C02ADB" w:rsidP="00C02A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AD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3.95</w:t>
            </w:r>
          </w:p>
        </w:tc>
      </w:tr>
    </w:tbl>
    <w:p w14:paraId="0FF48802" w14:textId="77777777" w:rsidR="00695625" w:rsidRPr="003E4C6D" w:rsidRDefault="00695625" w:rsidP="00695625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3E4C6D">
        <w:rPr>
          <w:i/>
          <w:iCs/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 xml:space="preserve">Target </w:t>
      </w:r>
      <w:r w:rsidRPr="003E4C6D">
        <w:rPr>
          <w:i/>
          <w:iCs/>
          <w:sz w:val="20"/>
          <w:szCs w:val="20"/>
        </w:rPr>
        <w:t>allocation</w:t>
      </w:r>
      <w:r>
        <w:rPr>
          <w:i/>
          <w:iCs/>
          <w:sz w:val="20"/>
          <w:szCs w:val="20"/>
        </w:rPr>
        <w:t>s</w:t>
      </w:r>
    </w:p>
    <w:p w14:paraId="02F3EC6E" w14:textId="77777777" w:rsidR="00695625" w:rsidRDefault="00695625" w:rsidP="00695625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3E4C6D">
        <w:rPr>
          <w:i/>
          <w:iCs/>
          <w:sz w:val="20"/>
          <w:szCs w:val="20"/>
        </w:rPr>
        <w:t xml:space="preserve">** </w:t>
      </w:r>
      <w:r w:rsidRPr="004F6DCC">
        <w:rPr>
          <w:i/>
          <w:iCs/>
          <w:sz w:val="20"/>
          <w:szCs w:val="20"/>
        </w:rPr>
        <w:t>Estimated sub-allocation based on pro-rata scaling of strategic target weights within the equity bucket</w:t>
      </w:r>
      <w:r>
        <w:rPr>
          <w:i/>
          <w:iCs/>
          <w:sz w:val="20"/>
          <w:szCs w:val="20"/>
        </w:rPr>
        <w:t xml:space="preserve"> (see above)</w:t>
      </w:r>
      <w:r w:rsidRPr="004F6DCC">
        <w:rPr>
          <w:i/>
          <w:iCs/>
          <w:sz w:val="20"/>
          <w:szCs w:val="20"/>
        </w:rPr>
        <w:t>; actual implementation may deviate</w:t>
      </w:r>
      <w:r>
        <w:rPr>
          <w:i/>
          <w:iCs/>
          <w:sz w:val="20"/>
          <w:szCs w:val="20"/>
        </w:rPr>
        <w:t>.</w:t>
      </w:r>
    </w:p>
    <w:p w14:paraId="62E220E1" w14:textId="084D7FF5" w:rsidR="00925D69" w:rsidRDefault="00695625" w:rsidP="00695625">
      <w:pPr>
        <w:pStyle w:val="NormalWeb"/>
        <w:spacing w:before="0" w:beforeAutospacing="0" w:after="0" w:afterAutospacing="0"/>
      </w:pPr>
      <w:r w:rsidRPr="00695625">
        <w:rPr>
          <w:i/>
          <w:iCs/>
          <w:sz w:val="20"/>
          <w:szCs w:val="20"/>
        </w:rPr>
        <w:t>**</w:t>
      </w:r>
      <w:r w:rsidR="00AD5375">
        <w:rPr>
          <w:i/>
          <w:iCs/>
          <w:sz w:val="20"/>
          <w:szCs w:val="20"/>
        </w:rPr>
        <w:t>*</w:t>
      </w:r>
      <w:r w:rsidRPr="00695625">
        <w:rPr>
          <w:i/>
          <w:iCs/>
          <w:sz w:val="20"/>
          <w:szCs w:val="20"/>
        </w:rPr>
        <w:t xml:space="preserve"> Japan exclusion is done </w:t>
      </w:r>
      <w:proofErr w:type="gramStart"/>
      <w:r w:rsidRPr="00695625">
        <w:rPr>
          <w:i/>
          <w:iCs/>
          <w:sz w:val="20"/>
          <w:szCs w:val="20"/>
        </w:rPr>
        <w:t>manually</w:t>
      </w:r>
      <w:proofErr w:type="gramEnd"/>
      <w:r w:rsidR="005F6726">
        <w:rPr>
          <w:i/>
          <w:iCs/>
          <w:sz w:val="20"/>
          <w:szCs w:val="20"/>
        </w:rPr>
        <w:t xml:space="preserve"> and weights are recalculated using the formula mentioned above.</w:t>
      </w:r>
    </w:p>
    <w:p w14:paraId="50DF30BA" w14:textId="77777777" w:rsidR="00C02ADB" w:rsidRDefault="00C02ADB" w:rsidP="00E4270F"/>
    <w:p w14:paraId="6525F468" w14:textId="6D092E01" w:rsidR="002E21ED" w:rsidRDefault="002E21ED" w:rsidP="002E21ED">
      <w:pPr>
        <w:pStyle w:val="Heading1"/>
        <w:rPr>
          <w:rFonts w:asciiTheme="minorHAnsi" w:hAnsiTheme="minorHAnsi"/>
        </w:rPr>
      </w:pPr>
      <w:r w:rsidRPr="007C5894">
        <w:rPr>
          <w:rFonts w:asciiTheme="minorHAnsi" w:hAnsiTheme="minorHAnsi"/>
        </w:rPr>
        <w:t>BPK</w:t>
      </w:r>
    </w:p>
    <w:p w14:paraId="4ED79D42" w14:textId="306C3C5E" w:rsidR="00174EFF" w:rsidRDefault="003515F5" w:rsidP="005F01AE">
      <w:r>
        <w:t xml:space="preserve">Below is the estimation logic we apply to </w:t>
      </w:r>
      <w:r w:rsidRPr="003515F5">
        <w:t>Bernische Pensionskasse</w:t>
      </w:r>
      <w:r>
        <w:t xml:space="preserve">’s (BPK) </w:t>
      </w:r>
      <w:r>
        <w:t>portfolio</w:t>
      </w:r>
      <w:r w:rsidR="005F01AE">
        <w:t xml:space="preserve">. </w:t>
      </w:r>
      <w:r w:rsidR="00174EFF" w:rsidRPr="007C5894">
        <w:t xml:space="preserve">BPK’s Anlagereglement contains a </w:t>
      </w:r>
      <w:r w:rsidR="004B4995" w:rsidRPr="007C5894">
        <w:t>dedicated table</w:t>
      </w:r>
      <w:r w:rsidR="00174EFF" w:rsidRPr="007C5894">
        <w:t xml:space="preserve"> where equities </w:t>
      </w:r>
      <w:r w:rsidR="004B4995">
        <w:t xml:space="preserve">and bonds </w:t>
      </w:r>
      <w:r w:rsidR="00174EFF" w:rsidRPr="007C5894">
        <w:t>are split into Swiss and global, with clear index names and weights.</w:t>
      </w:r>
      <w:r w:rsidR="00174EFF" w:rsidRPr="007C5894">
        <w:rPr>
          <w:rStyle w:val="FootnoteReference"/>
        </w:rPr>
        <w:footnoteReference w:id="5"/>
      </w:r>
      <w:r>
        <w:t xml:space="preserve"> </w:t>
      </w:r>
      <w:r w:rsidRPr="003515F5">
        <w:t xml:space="preserve">BPK Jahresbericht 2024 </w:t>
      </w:r>
      <w:r w:rsidR="005B7253">
        <w:t xml:space="preserve">provides </w:t>
      </w:r>
      <w:r w:rsidRPr="003515F5">
        <w:t>asset amounts as of 31.12.2024</w:t>
      </w:r>
      <w:r w:rsidR="005B7253">
        <w:t>.</w:t>
      </w:r>
      <w:r w:rsidR="005F01AE">
        <w:rPr>
          <w:rStyle w:val="FootnoteReference"/>
        </w:rPr>
        <w:footnoteReference w:id="6"/>
      </w:r>
      <w:r w:rsidR="005F01AE">
        <w:t xml:space="preserve"> BPK does not offer an exclusion list, however, it issues a Nachaltigkeitsbericht in which it </w:t>
      </w:r>
      <w:r w:rsidR="009A72AD">
        <w:t xml:space="preserve">describes its </w:t>
      </w:r>
      <w:r w:rsidR="004B4995">
        <w:t>criteria</w:t>
      </w:r>
      <w:r w:rsidR="009A72AD">
        <w:t xml:space="preserve"> for exclusion but does not provide a named exclusion list. The Pension fund adhere to the following strategy:</w:t>
      </w:r>
    </w:p>
    <w:p w14:paraId="61B025E4" w14:textId="0A31C4C1" w:rsidR="004B4995" w:rsidRDefault="009A72AD" w:rsidP="004B4995">
      <w:pPr>
        <w:pStyle w:val="ListParagraph"/>
        <w:numPr>
          <w:ilvl w:val="0"/>
          <w:numId w:val="9"/>
        </w:numPr>
      </w:pPr>
      <w:r>
        <w:t xml:space="preserve">Exclusion of companies </w:t>
      </w:r>
      <w:r w:rsidRPr="009A72AD">
        <w:t>involved in nuclear weapons or cluster munitions</w:t>
      </w:r>
      <w:r>
        <w:t>.</w:t>
      </w:r>
    </w:p>
    <w:p w14:paraId="38775289" w14:textId="0516217F" w:rsidR="004B4995" w:rsidRDefault="004B4995" w:rsidP="004B4995">
      <w:r>
        <w:t>companies with revenue above the BPK “Umsatzschwelle” for:</w:t>
      </w:r>
    </w:p>
    <w:p w14:paraId="6BC07A11" w14:textId="1FDB4F17" w:rsidR="004B4995" w:rsidRDefault="004B4995" w:rsidP="004B4995">
      <w:pPr>
        <w:pStyle w:val="ListParagraph"/>
        <w:numPr>
          <w:ilvl w:val="0"/>
          <w:numId w:val="9"/>
        </w:numPr>
      </w:pPr>
      <w:r>
        <w:t xml:space="preserve">Rüstung </w:t>
      </w:r>
      <w:r>
        <w:t xml:space="preserve">threshold of </w:t>
      </w:r>
      <w:r>
        <w:t>5%</w:t>
      </w:r>
    </w:p>
    <w:p w14:paraId="2F942E02" w14:textId="77777777" w:rsidR="004B4995" w:rsidRPr="004B4995" w:rsidRDefault="004B4995" w:rsidP="004B4995">
      <w:pPr>
        <w:pStyle w:val="ListParagraph"/>
        <w:numPr>
          <w:ilvl w:val="0"/>
          <w:numId w:val="9"/>
        </w:numPr>
      </w:pPr>
      <w:r w:rsidRPr="004B4995">
        <w:rPr>
          <w:lang w:val="de-DE"/>
        </w:rPr>
        <w:t>Glücksspiel – 5%</w:t>
      </w:r>
    </w:p>
    <w:p w14:paraId="33716CFB" w14:textId="77777777" w:rsidR="004B4995" w:rsidRPr="004B4995" w:rsidRDefault="004B4995" w:rsidP="004B4995">
      <w:pPr>
        <w:pStyle w:val="ListParagraph"/>
        <w:numPr>
          <w:ilvl w:val="0"/>
          <w:numId w:val="9"/>
        </w:numPr>
      </w:pPr>
      <w:r w:rsidRPr="004B4995">
        <w:rPr>
          <w:lang w:val="de-DE"/>
        </w:rPr>
        <w:t>GMO in agro-chem – 5%</w:t>
      </w:r>
    </w:p>
    <w:p w14:paraId="2C5E3C35" w14:textId="77777777" w:rsidR="004B4995" w:rsidRDefault="004B4995" w:rsidP="004B4995">
      <w:pPr>
        <w:pStyle w:val="ListParagraph"/>
        <w:numPr>
          <w:ilvl w:val="0"/>
          <w:numId w:val="9"/>
        </w:numPr>
      </w:pPr>
      <w:proofErr w:type="spellStart"/>
      <w:r>
        <w:t>Kernenergie</w:t>
      </w:r>
      <w:proofErr w:type="spellEnd"/>
      <w:r>
        <w:t xml:space="preserve"> – 5%</w:t>
      </w:r>
    </w:p>
    <w:p w14:paraId="7068FBB2" w14:textId="77777777" w:rsidR="004B4995" w:rsidRDefault="004B4995" w:rsidP="004B4995">
      <w:pPr>
        <w:pStyle w:val="ListParagraph"/>
        <w:numPr>
          <w:ilvl w:val="0"/>
          <w:numId w:val="9"/>
        </w:numPr>
      </w:pPr>
      <w:proofErr w:type="spellStart"/>
      <w:r>
        <w:t>Pornografie</w:t>
      </w:r>
      <w:proofErr w:type="spellEnd"/>
      <w:r>
        <w:t xml:space="preserve"> – 5%</w:t>
      </w:r>
    </w:p>
    <w:p w14:paraId="52F84AF3" w14:textId="4765694E" w:rsidR="00B72C61" w:rsidRDefault="004B4995" w:rsidP="00B72C61">
      <w:pPr>
        <w:pStyle w:val="ListParagraph"/>
        <w:numPr>
          <w:ilvl w:val="0"/>
          <w:numId w:val="9"/>
        </w:numPr>
      </w:pPr>
      <w:r>
        <w:lastRenderedPageBreak/>
        <w:t>Tabak – 5%</w:t>
      </w:r>
    </w:p>
    <w:p w14:paraId="24DEDDAB" w14:textId="5BD7D78E" w:rsidR="009C5B81" w:rsidRPr="009C5B81" w:rsidRDefault="009C5B81" w:rsidP="009C5B81">
      <w:r>
        <w:t>Given we do not have an explicit list of companies, we orient our exclusion strategy wi</w:t>
      </w:r>
      <w:r w:rsidR="00B72C61">
        <w:t>t</w:t>
      </w:r>
      <w:r>
        <w:t>h SVVK’s list</w:t>
      </w:r>
      <w:r w:rsidR="00B72C61">
        <w:t xml:space="preserve"> and where we have strong evidence that a company’s revenues exceeds 5% from the sector categories above according to LSEG Data &amp; Analytics</w:t>
      </w:r>
    </w:p>
    <w:p w14:paraId="0BB6C7F9" w14:textId="70627902" w:rsidR="002E21ED" w:rsidRPr="009C5B81" w:rsidRDefault="002E21ED" w:rsidP="004B4995">
      <w:pPr>
        <w:pStyle w:val="Heading2"/>
        <w:rPr>
          <w:rStyle w:val="Strong"/>
          <w:rFonts w:asciiTheme="minorHAnsi" w:hAnsiTheme="minorHAnsi"/>
          <w:b w:val="0"/>
          <w:bCs w:val="0"/>
        </w:rPr>
      </w:pPr>
      <w:r w:rsidRPr="009C5B81">
        <w:rPr>
          <w:rFonts w:asciiTheme="minorHAnsi" w:hAnsiTheme="minorHAnsi"/>
        </w:rPr>
        <w:t>Equity</w:t>
      </w:r>
    </w:p>
    <w:p w14:paraId="6C9DBC6F" w14:textId="6543579E" w:rsidR="004B4995" w:rsidRPr="004B4995" w:rsidRDefault="004B4995" w:rsidP="004B4995">
      <w:pPr>
        <w:pStyle w:val="Heading3"/>
        <w:rPr>
          <w:rStyle w:val="Strong"/>
          <w:b w:val="0"/>
          <w:bCs w:val="0"/>
          <w:lang w:val="de-DE"/>
        </w:rPr>
      </w:pPr>
      <w:r w:rsidRPr="004B4995">
        <w:rPr>
          <w:rStyle w:val="Strong"/>
          <w:b w:val="0"/>
          <w:bCs w:val="0"/>
          <w:lang w:val="de-DE"/>
        </w:rPr>
        <w:t>Aktien Schweiz</w:t>
      </w:r>
    </w:p>
    <w:p w14:paraId="7A52D366" w14:textId="1E8CB9CD" w:rsidR="004B4995" w:rsidRPr="004B4995" w:rsidRDefault="004B4995" w:rsidP="004B4995">
      <w:pPr>
        <w:pStyle w:val="NormalWeb"/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Strategic split:</w:t>
      </w:r>
    </w:p>
    <w:p w14:paraId="327DED59" w14:textId="0F328535" w:rsidR="006D3D40" w:rsidRDefault="004B4995" w:rsidP="004B4995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6D3D40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SMI = 17</w:t>
      </w:r>
      <w:r w:rsid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%</w:t>
      </w:r>
    </w:p>
    <w:p w14:paraId="2ED03F84" w14:textId="77777777" w:rsidR="00F93234" w:rsidRDefault="004B4995" w:rsidP="004B4995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SMIM = 3</w:t>
      </w:r>
      <w:r w:rsidR="00F93234" w:rsidRP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%</w:t>
      </w:r>
    </w:p>
    <w:p w14:paraId="438C65CB" w14:textId="06216F5E" w:rsidR="004B4995" w:rsidRPr="00F93234" w:rsidRDefault="004B4995" w:rsidP="004B4995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Total Aktien Schweiz = 20</w:t>
      </w:r>
      <w:r w:rsid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%</w:t>
      </w:r>
    </w:p>
    <w:p w14:paraId="6E2B2996" w14:textId="24072AD4" w:rsidR="004B4995" w:rsidRPr="004B4995" w:rsidRDefault="004B4995" w:rsidP="006D3D40">
      <w:pPr>
        <w:pStyle w:val="NormalWeb"/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So, inside “Aktien Schweiz”:</w:t>
      </w:r>
    </w:p>
    <w:p w14:paraId="03608A7C" w14:textId="77777777" w:rsidR="006D3D40" w:rsidRDefault="004B4995" w:rsidP="006D3D40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CH Large (SMI) share = 17 / 20 = 85%</w:t>
      </w:r>
    </w:p>
    <w:p w14:paraId="3229D441" w14:textId="0F066515" w:rsidR="004B4995" w:rsidRPr="006D3D40" w:rsidRDefault="004B4995" w:rsidP="006D3D40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6D3D40">
        <w:rPr>
          <w:rStyle w:val="Strong"/>
          <w:rFonts w:asciiTheme="minorHAnsi" w:eastAsiaTheme="majorEastAsia" w:hAnsiTheme="minorHAnsi"/>
          <w:b w:val="0"/>
          <w:bCs w:val="0"/>
        </w:rPr>
        <w:t>CH Mid (SMIM) share = 3 / 20 = 15%</w:t>
      </w:r>
    </w:p>
    <w:p w14:paraId="5C9FA7AC" w14:textId="7B1BFC86" w:rsidR="004B4995" w:rsidRPr="004B4995" w:rsidRDefault="004B4995" w:rsidP="006D3D40">
      <w:pPr>
        <w:pStyle w:val="NormalWeb"/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6D3D40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Reported amount (Jahresbericht 2024):</w:t>
      </w:r>
      <w:r w:rsidR="006D3D40" w:rsidRPr="006D3D40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br/>
      </w:r>
      <w:r w:rsidRPr="004B4995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Aktien Schweiz = CHF 3,411,151,898</w:t>
      </w:r>
    </w:p>
    <w:p w14:paraId="64782178" w14:textId="77777777" w:rsidR="004B4995" w:rsidRPr="006D3D40" w:rsidRDefault="004B4995" w:rsidP="004B4995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6D3D40">
        <w:rPr>
          <w:rStyle w:val="Strong"/>
          <w:rFonts w:asciiTheme="minorHAnsi" w:eastAsiaTheme="majorEastAsia" w:hAnsiTheme="minorHAnsi"/>
          <w:b w:val="0"/>
          <w:bCs w:val="0"/>
        </w:rPr>
        <w:t>We estimate:</w:t>
      </w:r>
    </w:p>
    <w:p w14:paraId="17585B81" w14:textId="77777777" w:rsidR="00F93234" w:rsidRPr="00F93234" w:rsidRDefault="004B4995" w:rsidP="004B4995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F93234">
        <w:rPr>
          <w:rStyle w:val="Strong"/>
          <w:rFonts w:asciiTheme="minorHAnsi" w:eastAsiaTheme="majorEastAsia" w:hAnsiTheme="minorHAnsi"/>
          <w:b w:val="0"/>
          <w:bCs w:val="0"/>
        </w:rPr>
        <w:t>CH Large (SMI) ≈ 3,411,151,898 × 0.85 ≈ CHF 2.899 bn</w:t>
      </w:r>
    </w:p>
    <w:p w14:paraId="08D9A685" w14:textId="4B51ACA0" w:rsidR="004B4995" w:rsidRPr="00F93234" w:rsidRDefault="004B4995" w:rsidP="004B4995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F93234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CH Mid (SMIM) ≈ 3,411,151,898 × 0.15 ≈ CHF 0.512 bn</w:t>
      </w:r>
    </w:p>
    <w:p w14:paraId="497CDA81" w14:textId="77777777" w:rsidR="004B4995" w:rsidRPr="004B4995" w:rsidRDefault="004B4995" w:rsidP="006D3D40">
      <w:pPr>
        <w:pStyle w:val="Heading3"/>
        <w:rPr>
          <w:rStyle w:val="Strong"/>
          <w:b w:val="0"/>
          <w:bCs w:val="0"/>
          <w:lang w:val="de-DE"/>
        </w:rPr>
      </w:pPr>
      <w:r w:rsidRPr="004B4995">
        <w:rPr>
          <w:rStyle w:val="Strong"/>
          <w:b w:val="0"/>
          <w:bCs w:val="0"/>
          <w:lang w:val="de-DE"/>
        </w:rPr>
        <w:t>Aktien Ausland (World ex CH)</w:t>
      </w:r>
    </w:p>
    <w:p w14:paraId="44C212C0" w14:textId="77777777" w:rsidR="004B4995" w:rsidRPr="004B4995" w:rsidRDefault="004B4995" w:rsidP="004B4995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</w:rPr>
        <w:t>Strategic split (Anlagereglement):</w:t>
      </w:r>
    </w:p>
    <w:p w14:paraId="5755A53C" w14:textId="17999CA7" w:rsidR="004B4995" w:rsidRPr="004B4995" w:rsidRDefault="004B4995" w:rsidP="006D3D40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</w:rPr>
        <w:t>MSCI World ex CH unhedged = 11</w:t>
      </w:r>
      <w:r w:rsidR="00B5447C">
        <w:rPr>
          <w:rStyle w:val="Strong"/>
          <w:rFonts w:asciiTheme="minorHAnsi" w:eastAsiaTheme="majorEastAsia" w:hAnsiTheme="minorHAnsi"/>
          <w:b w:val="0"/>
          <w:bCs w:val="0"/>
        </w:rPr>
        <w:t>%</w:t>
      </w:r>
    </w:p>
    <w:p w14:paraId="1A35CE0F" w14:textId="7B1B676A" w:rsidR="004B4995" w:rsidRPr="004B4995" w:rsidRDefault="004B4995" w:rsidP="006D3D40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4B4995">
        <w:rPr>
          <w:rStyle w:val="Strong"/>
          <w:rFonts w:asciiTheme="minorHAnsi" w:eastAsiaTheme="majorEastAsia" w:hAnsiTheme="minorHAnsi"/>
          <w:b w:val="0"/>
          <w:bCs w:val="0"/>
        </w:rPr>
        <w:t>MSCI World ex CH hedged = 11</w:t>
      </w:r>
      <w:r w:rsidR="00B5447C">
        <w:rPr>
          <w:rStyle w:val="Strong"/>
          <w:rFonts w:asciiTheme="minorHAnsi" w:eastAsiaTheme="majorEastAsia" w:hAnsiTheme="minorHAnsi"/>
          <w:b w:val="0"/>
          <w:bCs w:val="0"/>
        </w:rPr>
        <w:t>%</w:t>
      </w:r>
    </w:p>
    <w:p w14:paraId="34FD7EAE" w14:textId="51874466" w:rsidR="004B4995" w:rsidRDefault="00AE066A" w:rsidP="002E21ED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AE066A">
        <w:rPr>
          <w:rStyle w:val="Strong"/>
          <w:rFonts w:asciiTheme="minorHAnsi" w:eastAsiaTheme="majorEastAsia" w:hAnsiTheme="minorHAnsi"/>
          <w:b w:val="0"/>
          <w:bCs w:val="0"/>
        </w:rPr>
        <w:t>Given that the underlying equity portfolio is the same for the hedged and unhedged mandates, we treat them as one combined MSCI World ex CH exposure for issuer-level estimation and allocate the total “</w:t>
      </w:r>
      <w:proofErr w:type="spellStart"/>
      <w:r w:rsidRPr="00AE066A">
        <w:rPr>
          <w:rStyle w:val="Strong"/>
          <w:rFonts w:asciiTheme="minorHAnsi" w:eastAsiaTheme="majorEastAsia" w:hAnsiTheme="minorHAnsi"/>
          <w:b w:val="0"/>
          <w:bCs w:val="0"/>
        </w:rPr>
        <w:t>Aktien</w:t>
      </w:r>
      <w:proofErr w:type="spellEnd"/>
      <w:r w:rsidRPr="00AE066A">
        <w:rPr>
          <w:rStyle w:val="Strong"/>
          <w:rFonts w:asciiTheme="minorHAnsi" w:eastAsiaTheme="majorEastAsia" w:hAnsiTheme="minorHAnsi"/>
          <w:b w:val="0"/>
          <w:bCs w:val="0"/>
        </w:rPr>
        <w:t xml:space="preserve"> Ausland” amount across companies using a single MSCI World ex CH holdings file</w:t>
      </w:r>
      <w:r>
        <w:rPr>
          <w:rStyle w:val="Strong"/>
          <w:rFonts w:asciiTheme="minorHAnsi" w:eastAsiaTheme="majorEastAsia" w:hAnsiTheme="minorHAnsi"/>
          <w:b w:val="0"/>
          <w:bCs w:val="0"/>
        </w:rPr>
        <w:t>.</w:t>
      </w:r>
    </w:p>
    <w:p w14:paraId="2767F818" w14:textId="77777777" w:rsidR="00CC531C" w:rsidRPr="00FE2A60" w:rsidRDefault="00CC531C" w:rsidP="00CC531C">
      <w:pPr>
        <w:pStyle w:val="Heading2"/>
        <w:rPr>
          <w:rStyle w:val="Strong"/>
          <w:rFonts w:asciiTheme="minorHAnsi" w:hAnsiTheme="minorHAnsi"/>
          <w:b w:val="0"/>
          <w:bCs w:val="0"/>
        </w:rPr>
      </w:pPr>
      <w:r w:rsidRPr="00FE2A60">
        <w:rPr>
          <w:rStyle w:val="Strong"/>
          <w:rFonts w:asciiTheme="minorHAnsi" w:hAnsiTheme="minorHAnsi"/>
          <w:b w:val="0"/>
          <w:bCs w:val="0"/>
        </w:rPr>
        <w:lastRenderedPageBreak/>
        <w:t>Bonds</w:t>
      </w:r>
    </w:p>
    <w:p w14:paraId="5AA57FFE" w14:textId="77777777" w:rsidR="00CC531C" w:rsidRDefault="00CC531C" w:rsidP="00CC531C">
      <w:pPr>
        <w:pStyle w:val="Heading3"/>
        <w:rPr>
          <w:rStyle w:val="Strong"/>
          <w:b w:val="0"/>
          <w:bCs w:val="0"/>
        </w:rPr>
      </w:pPr>
      <w:r w:rsidRPr="00FE2A60">
        <w:rPr>
          <w:rStyle w:val="Strong"/>
          <w:b w:val="0"/>
          <w:bCs w:val="0"/>
        </w:rPr>
        <w:t xml:space="preserve">Obligationen CHF </w:t>
      </w:r>
    </w:p>
    <w:p w14:paraId="1A2C13DC" w14:textId="77777777" w:rsidR="00CC531C" w:rsidRPr="00FE2A60" w:rsidRDefault="00CC531C" w:rsidP="00CC531C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Strategic composition (Anlagereglement):</w:t>
      </w:r>
    </w:p>
    <w:p w14:paraId="28029792" w14:textId="51B022FA" w:rsidR="00CC531C" w:rsidRPr="00FE2A60" w:rsidRDefault="00CC531C" w:rsidP="00CC531C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Obligationen CHF = 38, where:</w:t>
      </w:r>
    </w:p>
    <w:p w14:paraId="067D7BCF" w14:textId="77777777" w:rsidR="00CC531C" w:rsidRPr="00FE2A60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SBI AAA–A (SBR13T) = 37</w:t>
      </w:r>
    </w:p>
    <w:p w14:paraId="1703576B" w14:textId="77777777" w:rsidR="00CC531C" w:rsidRPr="00CC531C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 xml:space="preserve">Obligationen CHF / Schuld Kt. </w:t>
      </w:r>
      <w:r w:rsidRPr="00CC531C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Bern = 1</w:t>
      </w:r>
    </w:p>
    <w:p w14:paraId="763D6595" w14:textId="6D3AB6CC" w:rsidR="00CC531C" w:rsidRPr="00FE2A60" w:rsidRDefault="00CC531C" w:rsidP="00CC531C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So inside “Obligationen CHF”:</w:t>
      </w:r>
    </w:p>
    <w:p w14:paraId="2C6EEA6F" w14:textId="77777777" w:rsidR="00CC531C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SBI AAA–A share = 37 / 38 = 97.37%</w:t>
      </w:r>
    </w:p>
    <w:p w14:paraId="36246DFB" w14:textId="77777777" w:rsidR="00CC531C" w:rsidRPr="00FE2A60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Kanton Bern rate share = 1 / 38 = 2.63%</w:t>
      </w:r>
    </w:p>
    <w:p w14:paraId="2E9BFEDE" w14:textId="77777777" w:rsidR="00CC531C" w:rsidRPr="00FE2A60" w:rsidRDefault="00CC531C" w:rsidP="00CC531C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Reported amount (Jahresbericht 2024):</w:t>
      </w:r>
    </w:p>
    <w:p w14:paraId="318D4578" w14:textId="77777777" w:rsidR="00CC531C" w:rsidRPr="00FE2A60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Obligationen CHF = CHF 6,300,486,677</w:t>
      </w:r>
    </w:p>
    <w:p w14:paraId="13AED6A0" w14:textId="77777777" w:rsidR="00CC531C" w:rsidRPr="00FE2A60" w:rsidRDefault="00CC531C" w:rsidP="00CC531C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We estimate:</w:t>
      </w:r>
    </w:p>
    <w:p w14:paraId="356C7D49" w14:textId="77777777" w:rsidR="00CC531C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FE2A60">
        <w:rPr>
          <w:rStyle w:val="Strong"/>
          <w:rFonts w:asciiTheme="minorHAnsi" w:eastAsiaTheme="majorEastAsia" w:hAnsiTheme="minorHAnsi"/>
          <w:b w:val="0"/>
          <w:bCs w:val="0"/>
        </w:rPr>
        <w:t>SBI AAA–A component ≈ 6,300,486,677 × 0.9737 ≈ CHF 6.135 bn</w:t>
      </w:r>
    </w:p>
    <w:p w14:paraId="1E0F2619" w14:textId="77777777" w:rsidR="00CC531C" w:rsidRPr="00CC531C" w:rsidRDefault="00CC531C" w:rsidP="00CC531C">
      <w:pPr>
        <w:pStyle w:val="NormalWeb"/>
        <w:numPr>
          <w:ilvl w:val="0"/>
          <w:numId w:val="9"/>
        </w:numPr>
        <w:rPr>
          <w:rStyle w:val="Strong"/>
          <w:rFonts w:asciiTheme="minorHAnsi" w:eastAsiaTheme="majorEastAsia" w:hAnsiTheme="minorHAnsi"/>
          <w:b w:val="0"/>
          <w:bCs w:val="0"/>
          <w:lang w:val="de-DE"/>
        </w:rPr>
      </w:pPr>
      <w:r w:rsidRPr="00CC531C">
        <w:rPr>
          <w:rStyle w:val="Strong"/>
          <w:rFonts w:asciiTheme="minorHAnsi" w:eastAsiaTheme="majorEastAsia" w:hAnsiTheme="minorHAnsi"/>
          <w:b w:val="0"/>
          <w:bCs w:val="0"/>
          <w:lang w:val="de-DE"/>
        </w:rPr>
        <w:t>“Verzinsung Kanton” component ≈ 6,300,486,677 × 0.0263 ≈ CHF 0.166 bn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797"/>
        <w:gridCol w:w="1451"/>
        <w:gridCol w:w="2303"/>
        <w:gridCol w:w="2330"/>
        <w:gridCol w:w="1469"/>
      </w:tblGrid>
      <w:tr w:rsidR="00B5447C" w:rsidRPr="00404BF9" w14:paraId="07D3BC54" w14:textId="77777777" w:rsidTr="009C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FD8D4C3" w14:textId="77777777" w:rsidR="00404BF9" w:rsidRPr="00404BF9" w:rsidRDefault="00404BF9" w:rsidP="00404BF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Asset class</w:t>
            </w:r>
          </w:p>
        </w:tc>
        <w:tc>
          <w:tcPr>
            <w:tcW w:w="0" w:type="auto"/>
            <w:hideMark/>
          </w:tcPr>
          <w:p w14:paraId="2C6715C8" w14:textId="218D2AB4" w:rsidR="00404BF9" w:rsidRPr="00404BF9" w:rsidRDefault="00404BF9" w:rsidP="00404BF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 Allocation</w:t>
            </w:r>
            <w:r w:rsidR="00B544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</w:p>
        </w:tc>
        <w:tc>
          <w:tcPr>
            <w:tcW w:w="0" w:type="auto"/>
            <w:hideMark/>
          </w:tcPr>
          <w:p w14:paraId="09BB6470" w14:textId="77777777" w:rsidR="00404BF9" w:rsidRPr="00404BF9" w:rsidRDefault="00404BF9" w:rsidP="00404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Benchmark (as disclosed by BPK)</w:t>
            </w:r>
          </w:p>
        </w:tc>
        <w:tc>
          <w:tcPr>
            <w:tcW w:w="0" w:type="auto"/>
            <w:hideMark/>
          </w:tcPr>
          <w:p w14:paraId="7508DACD" w14:textId="77777777" w:rsidR="00404BF9" w:rsidRPr="00404BF9" w:rsidRDefault="00404BF9" w:rsidP="00404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Proxy used</w:t>
            </w:r>
          </w:p>
        </w:tc>
        <w:tc>
          <w:tcPr>
            <w:tcW w:w="0" w:type="auto"/>
            <w:hideMark/>
          </w:tcPr>
          <w:p w14:paraId="6FBEDA90" w14:textId="77777777" w:rsidR="00404BF9" w:rsidRPr="00404BF9" w:rsidRDefault="00404BF9" w:rsidP="00404BF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CHF (bn)</w:t>
            </w:r>
          </w:p>
        </w:tc>
      </w:tr>
      <w:tr w:rsidR="00B5447C" w:rsidRPr="00404BF9" w14:paraId="270A22CD" w14:textId="77777777" w:rsidTr="009C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C9949" w14:textId="77777777" w:rsidR="00404BF9" w:rsidRPr="00404BF9" w:rsidRDefault="00404BF9" w:rsidP="00404BF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 Large</w:t>
            </w:r>
          </w:p>
        </w:tc>
        <w:tc>
          <w:tcPr>
            <w:tcW w:w="0" w:type="auto"/>
            <w:hideMark/>
          </w:tcPr>
          <w:p w14:paraId="6FC17D41" w14:textId="77777777" w:rsidR="00404BF9" w:rsidRPr="00404BF9" w:rsidRDefault="00404BF9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17.0%</w:t>
            </w:r>
          </w:p>
        </w:tc>
        <w:tc>
          <w:tcPr>
            <w:tcW w:w="0" w:type="auto"/>
            <w:hideMark/>
          </w:tcPr>
          <w:p w14:paraId="6CEF0A7E" w14:textId="21EAA3BC" w:rsidR="00404BF9" w:rsidRPr="00404BF9" w:rsidRDefault="00404BF9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Swiss Market Index (SMI)</w:t>
            </w:r>
          </w:p>
        </w:tc>
        <w:tc>
          <w:tcPr>
            <w:tcW w:w="0" w:type="auto"/>
            <w:hideMark/>
          </w:tcPr>
          <w:p w14:paraId="2972628F" w14:textId="06B0AD70" w:rsidR="00404BF9" w:rsidRPr="00404BF9" w:rsidRDefault="00404BF9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SMI ETF (CH) (tracks SMI)</w:t>
            </w:r>
          </w:p>
        </w:tc>
        <w:tc>
          <w:tcPr>
            <w:tcW w:w="0" w:type="auto"/>
            <w:hideMark/>
          </w:tcPr>
          <w:p w14:paraId="243BD940" w14:textId="77777777" w:rsidR="00404BF9" w:rsidRPr="00404BF9" w:rsidRDefault="00404BF9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2.899</w:t>
            </w:r>
          </w:p>
        </w:tc>
      </w:tr>
      <w:tr w:rsidR="00B5447C" w:rsidRPr="00404BF9" w14:paraId="0DD271A3" w14:textId="77777777" w:rsidTr="009C5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5CEF0" w14:textId="77777777" w:rsidR="00404BF9" w:rsidRPr="00404BF9" w:rsidRDefault="00404BF9" w:rsidP="00404BF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 Mid</w:t>
            </w:r>
          </w:p>
        </w:tc>
        <w:tc>
          <w:tcPr>
            <w:tcW w:w="0" w:type="auto"/>
            <w:hideMark/>
          </w:tcPr>
          <w:p w14:paraId="6D40BD6D" w14:textId="77777777" w:rsidR="00404BF9" w:rsidRPr="00404BF9" w:rsidRDefault="00404BF9" w:rsidP="00404B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3.0%</w:t>
            </w:r>
          </w:p>
        </w:tc>
        <w:tc>
          <w:tcPr>
            <w:tcW w:w="0" w:type="auto"/>
            <w:hideMark/>
          </w:tcPr>
          <w:p w14:paraId="67B0028B" w14:textId="29DB9DFC" w:rsidR="00404BF9" w:rsidRPr="00404BF9" w:rsidRDefault="00404BF9" w:rsidP="00404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Swiss Market Index Mid (SMIM) </w:t>
            </w:r>
          </w:p>
        </w:tc>
        <w:tc>
          <w:tcPr>
            <w:tcW w:w="0" w:type="auto"/>
            <w:hideMark/>
          </w:tcPr>
          <w:p w14:paraId="665E89C0" w14:textId="0EBAA86A" w:rsidR="00404BF9" w:rsidRPr="00404BF9" w:rsidRDefault="00404BF9" w:rsidP="00404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SMIM ETF (CH) (tracks SMIM)</w:t>
            </w:r>
          </w:p>
        </w:tc>
        <w:tc>
          <w:tcPr>
            <w:tcW w:w="0" w:type="auto"/>
            <w:hideMark/>
          </w:tcPr>
          <w:p w14:paraId="53D7833C" w14:textId="77777777" w:rsidR="00404BF9" w:rsidRPr="00404BF9" w:rsidRDefault="00404BF9" w:rsidP="00404B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0.512</w:t>
            </w:r>
          </w:p>
        </w:tc>
      </w:tr>
      <w:tr w:rsidR="00B5447C" w:rsidRPr="00404BF9" w14:paraId="1AE9188F" w14:textId="77777777" w:rsidTr="009C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5E2FB6" w14:textId="704D4B58" w:rsidR="00404BF9" w:rsidRPr="00404BF9" w:rsidRDefault="00404BF9" w:rsidP="00404BF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Ausland</w:t>
            </w:r>
          </w:p>
        </w:tc>
        <w:tc>
          <w:tcPr>
            <w:tcW w:w="0" w:type="auto"/>
            <w:hideMark/>
          </w:tcPr>
          <w:p w14:paraId="01594D7C" w14:textId="41DD02A7" w:rsidR="00404BF9" w:rsidRPr="00404BF9" w:rsidRDefault="00F93234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  <w:r w:rsidR="00404BF9"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.0%</w:t>
            </w:r>
          </w:p>
        </w:tc>
        <w:tc>
          <w:tcPr>
            <w:tcW w:w="0" w:type="auto"/>
            <w:hideMark/>
          </w:tcPr>
          <w:p w14:paraId="59FE44E5" w14:textId="7F11BFE8" w:rsidR="00404BF9" w:rsidRPr="00404BF9" w:rsidRDefault="00404BF9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MSCI World ex CH</w:t>
            </w:r>
          </w:p>
        </w:tc>
        <w:tc>
          <w:tcPr>
            <w:tcW w:w="0" w:type="auto"/>
            <w:hideMark/>
          </w:tcPr>
          <w:p w14:paraId="0AA5DD89" w14:textId="2FCC2FFB" w:rsidR="00404BF9" w:rsidRPr="00404BF9" w:rsidRDefault="00404BF9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iShares World ex Switzerland Equity Index Fund (CH)</w:t>
            </w:r>
          </w:p>
        </w:tc>
        <w:tc>
          <w:tcPr>
            <w:tcW w:w="0" w:type="auto"/>
            <w:hideMark/>
          </w:tcPr>
          <w:p w14:paraId="183095A2" w14:textId="251C371A" w:rsidR="00404BF9" w:rsidRPr="00404BF9" w:rsidRDefault="00A4091E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3.737</w:t>
            </w:r>
          </w:p>
        </w:tc>
      </w:tr>
      <w:tr w:rsidR="00B5447C" w:rsidRPr="00404BF9" w14:paraId="7B3DED7A" w14:textId="77777777" w:rsidTr="00B54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72CED" w14:textId="77777777" w:rsidR="00404BF9" w:rsidRPr="00404BF9" w:rsidRDefault="00404BF9" w:rsidP="00404BF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 CHF (core)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7133E24" w14:textId="77777777" w:rsidR="00404BF9" w:rsidRPr="00404BF9" w:rsidRDefault="00404BF9" w:rsidP="00404B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37.0%</w:t>
            </w:r>
          </w:p>
        </w:tc>
        <w:tc>
          <w:tcPr>
            <w:tcW w:w="0" w:type="auto"/>
            <w:hideMark/>
          </w:tcPr>
          <w:p w14:paraId="7843ADD6" w14:textId="05F9FD03" w:rsidR="00404BF9" w:rsidRPr="00404BF9" w:rsidRDefault="00404BF9" w:rsidP="00404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  <w:t>SBI AAA–A (SBR13T)</w:t>
            </w:r>
          </w:p>
        </w:tc>
        <w:tc>
          <w:tcPr>
            <w:tcW w:w="0" w:type="auto"/>
            <w:hideMark/>
          </w:tcPr>
          <w:p w14:paraId="5770E4E0" w14:textId="697BA841" w:rsidR="00404BF9" w:rsidRPr="00404BF9" w:rsidRDefault="00B5447C" w:rsidP="00404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672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Swiss Life Index Funds Bond Swiss Franc AAA-BBB-AM</w:t>
            </w:r>
            <w:r w:rsidR="006663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</w:p>
        </w:tc>
        <w:tc>
          <w:tcPr>
            <w:tcW w:w="0" w:type="auto"/>
            <w:hideMark/>
          </w:tcPr>
          <w:p w14:paraId="21094237" w14:textId="77777777" w:rsidR="00404BF9" w:rsidRPr="00404BF9" w:rsidRDefault="00404BF9" w:rsidP="00404B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6.135</w:t>
            </w:r>
          </w:p>
        </w:tc>
      </w:tr>
      <w:tr w:rsidR="00B5447C" w:rsidRPr="00404BF9" w14:paraId="00CC0678" w14:textId="77777777" w:rsidTr="00B54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B18D6" w14:textId="5A76B8BA" w:rsidR="00404BF9" w:rsidRPr="00404BF9" w:rsidRDefault="00404BF9" w:rsidP="00404BF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 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48DB4" w14:textId="77777777" w:rsidR="00404BF9" w:rsidRPr="00404BF9" w:rsidRDefault="00404BF9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6.0%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14:paraId="752D0290" w14:textId="673098C0" w:rsidR="00404BF9" w:rsidRPr="00404BF9" w:rsidRDefault="00404BF9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Barclays Global Aggregate CHF (LEGATRCH)</w:t>
            </w:r>
          </w:p>
        </w:tc>
        <w:tc>
          <w:tcPr>
            <w:tcW w:w="0" w:type="auto"/>
            <w:hideMark/>
          </w:tcPr>
          <w:p w14:paraId="5AC835CA" w14:textId="36C9FBE7" w:rsidR="00404BF9" w:rsidRPr="00404BF9" w:rsidRDefault="00F93234" w:rsidP="0040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56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SPDR Bloomberg Global Aggregate Bond UCITS ETF</w:t>
            </w:r>
          </w:p>
        </w:tc>
        <w:tc>
          <w:tcPr>
            <w:tcW w:w="0" w:type="auto"/>
            <w:hideMark/>
          </w:tcPr>
          <w:p w14:paraId="4DC45A60" w14:textId="77777777" w:rsidR="00404BF9" w:rsidRPr="00404BF9" w:rsidRDefault="00404BF9" w:rsidP="00404B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B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0.973</w:t>
            </w:r>
          </w:p>
        </w:tc>
      </w:tr>
    </w:tbl>
    <w:p w14:paraId="5E981759" w14:textId="290EA110" w:rsidR="00404BF9" w:rsidRPr="007B6344" w:rsidRDefault="00B5447C" w:rsidP="007B6344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7B6344">
        <w:rPr>
          <w:i/>
          <w:iCs/>
          <w:sz w:val="20"/>
          <w:szCs w:val="20"/>
        </w:rPr>
        <w:t>*Target Allocation</w:t>
      </w:r>
      <w:r w:rsidRPr="007B6344">
        <w:rPr>
          <w:i/>
          <w:iCs/>
          <w:sz w:val="20"/>
          <w:szCs w:val="20"/>
        </w:rPr>
        <w:br/>
        <w:t>**</w:t>
      </w:r>
      <w:r w:rsidR="006663BC" w:rsidRPr="007B6344">
        <w:rPr>
          <w:i/>
          <w:iCs/>
          <w:sz w:val="20"/>
          <w:szCs w:val="20"/>
        </w:rPr>
        <w:t xml:space="preserve"> we manually exclude BBB bonds</w:t>
      </w:r>
      <w:r w:rsidR="00CE1E6F" w:rsidRPr="007B6344">
        <w:rPr>
          <w:i/>
          <w:iCs/>
          <w:sz w:val="20"/>
          <w:szCs w:val="20"/>
        </w:rPr>
        <w:t>.</w:t>
      </w:r>
      <w:r w:rsidR="007B6344" w:rsidRPr="007B6344">
        <w:rPr>
          <w:i/>
          <w:iCs/>
          <w:sz w:val="20"/>
          <w:szCs w:val="20"/>
        </w:rPr>
        <w:t xml:space="preserve"> 6</w:t>
      </w:r>
      <w:r w:rsidR="007B6344">
        <w:rPr>
          <w:i/>
          <w:iCs/>
          <w:sz w:val="20"/>
          <w:szCs w:val="20"/>
        </w:rPr>
        <w:t>52</w:t>
      </w:r>
      <w:r w:rsidR="007B6344" w:rsidRPr="007B6344">
        <w:rPr>
          <w:i/>
          <w:iCs/>
          <w:sz w:val="20"/>
          <w:szCs w:val="20"/>
        </w:rPr>
        <w:t xml:space="preserve"> bonds did not have a rating </w:t>
      </w:r>
      <w:proofErr w:type="gramStart"/>
      <w:r w:rsidR="007B6344" w:rsidRPr="007B6344">
        <w:rPr>
          <w:i/>
          <w:iCs/>
          <w:sz w:val="20"/>
          <w:szCs w:val="20"/>
        </w:rPr>
        <w:t>neither</w:t>
      </w:r>
      <w:proofErr w:type="gramEnd"/>
      <w:r w:rsidR="007B6344" w:rsidRPr="007B6344">
        <w:rPr>
          <w:i/>
          <w:iCs/>
          <w:sz w:val="20"/>
          <w:szCs w:val="20"/>
        </w:rPr>
        <w:t xml:space="preserve"> on </w:t>
      </w:r>
      <w:r w:rsidR="00B72C61" w:rsidRPr="00B72C61">
        <w:rPr>
          <w:i/>
          <w:iCs/>
          <w:sz w:val="20"/>
          <w:szCs w:val="20"/>
        </w:rPr>
        <w:t>LSEG Data &amp; Analytics</w:t>
      </w:r>
      <w:r w:rsidR="00B72C61" w:rsidRPr="00B72C61">
        <w:rPr>
          <w:i/>
          <w:iCs/>
          <w:sz w:val="20"/>
          <w:szCs w:val="20"/>
        </w:rPr>
        <w:t xml:space="preserve"> </w:t>
      </w:r>
      <w:proofErr w:type="gramStart"/>
      <w:r w:rsidR="007B6344" w:rsidRPr="007B6344">
        <w:rPr>
          <w:i/>
          <w:iCs/>
          <w:sz w:val="20"/>
          <w:szCs w:val="20"/>
        </w:rPr>
        <w:t>nor</w:t>
      </w:r>
      <w:proofErr w:type="gramEnd"/>
      <w:r w:rsidR="007B6344" w:rsidRPr="007B6344">
        <w:rPr>
          <w:i/>
          <w:iCs/>
          <w:sz w:val="20"/>
          <w:szCs w:val="20"/>
        </w:rPr>
        <w:t xml:space="preserve"> S&amp;P Capital IQ, these were kept.</w:t>
      </w:r>
    </w:p>
    <w:p w14:paraId="31F55C16" w14:textId="77777777" w:rsidR="00FE2A60" w:rsidRPr="007B6344" w:rsidRDefault="00FE2A60" w:rsidP="00FE2A60">
      <w:pPr>
        <w:pStyle w:val="NormalWeb"/>
        <w:rPr>
          <w:rStyle w:val="Strong"/>
          <w:rFonts w:asciiTheme="minorHAnsi" w:eastAsiaTheme="majorEastAsia" w:hAnsiTheme="minorHAnsi"/>
          <w:b w:val="0"/>
          <w:bCs w:val="0"/>
        </w:rPr>
      </w:pPr>
    </w:p>
    <w:p w14:paraId="0FD7CE41" w14:textId="28774E89" w:rsidR="002E21ED" w:rsidRPr="007C5894" w:rsidRDefault="00174EFF" w:rsidP="00174EFF">
      <w:pPr>
        <w:pStyle w:val="Heading1"/>
        <w:rPr>
          <w:rFonts w:asciiTheme="minorHAnsi" w:hAnsiTheme="minorHAnsi"/>
        </w:rPr>
      </w:pPr>
      <w:r w:rsidRPr="007C5894">
        <w:rPr>
          <w:rFonts w:asciiTheme="minorHAnsi" w:hAnsiTheme="minorHAnsi"/>
        </w:rPr>
        <w:t>PVK Bern</w:t>
      </w:r>
    </w:p>
    <w:p w14:paraId="05EFA936" w14:textId="6A2D03FD" w:rsidR="006D06B6" w:rsidRDefault="006D06B6" w:rsidP="006D06B6">
      <w:r>
        <w:t xml:space="preserve">Below is PVK </w:t>
      </w:r>
      <w:r>
        <w:t xml:space="preserve">is our </w:t>
      </w:r>
      <w:r>
        <w:t>estimation</w:t>
      </w:r>
      <w:r>
        <w:t xml:space="preserve"> </w:t>
      </w:r>
      <w:r>
        <w:t>logic based on the latest publicly available PVK disclosures</w:t>
      </w:r>
      <w:r>
        <w:t>.</w:t>
      </w:r>
    </w:p>
    <w:p w14:paraId="1A4958C7" w14:textId="4234FCEC" w:rsidR="006D06B6" w:rsidRDefault="006D06B6" w:rsidP="006D06B6">
      <w:pPr>
        <w:rPr>
          <w:lang w:val="de-DE"/>
        </w:rPr>
      </w:pPr>
      <w:r w:rsidRPr="006D06B6">
        <w:rPr>
          <w:lang w:val="de-DE"/>
        </w:rPr>
        <w:t>PVK Geschäftsbericht 2024 (asset amounts / “Zusammensetzung des Vermögens per 31.12.2024”)</w:t>
      </w:r>
      <w:r>
        <w:rPr>
          <w:rStyle w:val="FootnoteReference"/>
          <w:lang w:val="de-DE"/>
        </w:rPr>
        <w:footnoteReference w:id="7"/>
      </w:r>
      <w:r>
        <w:rPr>
          <w:lang w:val="de-DE"/>
        </w:rPr>
        <w:t xml:space="preserve"> and </w:t>
      </w:r>
      <w:r w:rsidRPr="006D06B6">
        <w:rPr>
          <w:lang w:val="de-DE"/>
        </w:rPr>
        <w:t>PVK Anlageverordnung (AVO) incl. Anhang 1 (Anlagestrategie) and Anhang 5 (Ausschlüsse), updated 06.03.2025</w:t>
      </w:r>
      <w:r>
        <w:rPr>
          <w:lang w:val="de-DE"/>
        </w:rPr>
        <w:t>.</w:t>
      </w:r>
      <w:r>
        <w:rPr>
          <w:rStyle w:val="FootnoteReference"/>
          <w:lang w:val="de-DE"/>
        </w:rPr>
        <w:footnoteReference w:id="8"/>
      </w:r>
    </w:p>
    <w:p w14:paraId="27E316BA" w14:textId="12A7F66B" w:rsidR="006D06B6" w:rsidRPr="006D06B6" w:rsidRDefault="006D06B6" w:rsidP="006D06B6">
      <w:r w:rsidRPr="006D06B6">
        <w:t xml:space="preserve">What we have </w:t>
      </w:r>
      <w:r>
        <w:t xml:space="preserve">is </w:t>
      </w:r>
      <w:r w:rsidRPr="006D06B6">
        <w:t xml:space="preserve">PVK’s strategic allocation targets + band ranges (AVO Anhang 1; </w:t>
      </w:r>
      <w:proofErr w:type="spellStart"/>
      <w:r w:rsidRPr="006D06B6">
        <w:t>gültig</w:t>
      </w:r>
      <w:proofErr w:type="spellEnd"/>
      <w:r w:rsidRPr="006D06B6">
        <w:t xml:space="preserve"> ab 01.01.2023).</w:t>
      </w:r>
      <w:r>
        <w:t xml:space="preserve"> In addition, </w:t>
      </w:r>
      <w:r w:rsidRPr="006D06B6">
        <w:t xml:space="preserve">PVK’s actual asset amounts as of 31.12.2024 by broad bucket (e.g., </w:t>
      </w:r>
      <w:proofErr w:type="spellStart"/>
      <w:r w:rsidRPr="006D06B6">
        <w:t>Aktien</w:t>
      </w:r>
      <w:proofErr w:type="spellEnd"/>
      <w:r w:rsidRPr="006D06B6">
        <w:t xml:space="preserve"> Inland/Ausland; Obligationen CHF / Obligationen FW Ausland).</w:t>
      </w:r>
      <w:r>
        <w:t xml:space="preserve"> Also available is </w:t>
      </w:r>
      <w:r w:rsidRPr="006D06B6">
        <w:t>PVK’s exclusion approach, including SVVK use and a named exclusion list in AVO Anhang 5.</w:t>
      </w:r>
    </w:p>
    <w:p w14:paraId="559D4440" w14:textId="63B9B472" w:rsidR="006D06B6" w:rsidRDefault="006D06B6" w:rsidP="006D06B6">
      <w:r w:rsidRPr="006D06B6">
        <w:t>PVK</w:t>
      </w:r>
      <w:r>
        <w:t>, however,</w:t>
      </w:r>
      <w:r w:rsidRPr="006D06B6">
        <w:t xml:space="preserve"> does not clearly disclose </w:t>
      </w:r>
      <w:r>
        <w:t xml:space="preserve">a </w:t>
      </w:r>
      <w:r w:rsidRPr="006D06B6">
        <w:t>clean “Benchmark → index name” mapping per bucket.</w:t>
      </w:r>
      <w:r>
        <w:t xml:space="preserve"> </w:t>
      </w:r>
      <w:proofErr w:type="gramStart"/>
      <w:r w:rsidRPr="006D06B6">
        <w:t>So</w:t>
      </w:r>
      <w:proofErr w:type="gramEnd"/>
      <w:r w:rsidRPr="006D06B6">
        <w:t xml:space="preserve"> for proxy selection, we use standard Swiss pension index proxies and label them as assumptions.</w:t>
      </w:r>
    </w:p>
    <w:p w14:paraId="3106C275" w14:textId="57D5BC8C" w:rsidR="00CF2897" w:rsidRDefault="00CF2897" w:rsidP="00CF2897">
      <w:pPr>
        <w:pStyle w:val="Heading2"/>
      </w:pPr>
      <w:r>
        <w:t>Exclusion</w:t>
      </w:r>
    </w:p>
    <w:p w14:paraId="5F8C3FE2" w14:textId="3D0DA2FD" w:rsidR="00CF2897" w:rsidRDefault="00CF2897" w:rsidP="00CF2897">
      <w:r>
        <w:t>PVK describes a process that</w:t>
      </w:r>
      <w:r>
        <w:t xml:space="preserve"> </w:t>
      </w:r>
      <w:r>
        <w:t xml:space="preserve">applies the SVVK exclusion list to direct </w:t>
      </w:r>
      <w:proofErr w:type="gramStart"/>
      <w:r>
        <w:t>investments, and</w:t>
      </w:r>
      <w:proofErr w:type="gramEnd"/>
      <w:r>
        <w:t xml:space="preserve"> </w:t>
      </w:r>
      <w:r>
        <w:t>applies SVVK to collective investments at least for prohibited weapons involvement (nuclear/biological, cluster munitions, anti-personnel mines).</w:t>
      </w:r>
      <w:r>
        <w:t xml:space="preserve"> </w:t>
      </w:r>
      <w:r>
        <w:t>In addition, PVK’s AVO Anhang 5 contains a named list of excluded entities</w:t>
      </w:r>
      <w:r>
        <w:t xml:space="preserve">. </w:t>
      </w:r>
      <w:proofErr w:type="gramStart"/>
      <w:r>
        <w:t>Angang 5,</w:t>
      </w:r>
      <w:proofErr w:type="gramEnd"/>
      <w:r>
        <w:t xml:space="preserve"> matches SVVK’s list.</w:t>
      </w:r>
    </w:p>
    <w:p w14:paraId="61A739C5" w14:textId="0E0B631F" w:rsidR="00CF2897" w:rsidRDefault="00CF2897" w:rsidP="00CF2897">
      <w:pPr>
        <w:pStyle w:val="Heading2"/>
      </w:pPr>
      <w:r>
        <w:t>Equity</w:t>
      </w:r>
    </w:p>
    <w:p w14:paraId="69BE9A29" w14:textId="322DD588" w:rsidR="00CF2897" w:rsidRDefault="00CF2897" w:rsidP="00CF2897">
      <w:proofErr w:type="spellStart"/>
      <w:r w:rsidRPr="00CF2897">
        <w:t>Aktien</w:t>
      </w:r>
      <w:proofErr w:type="spellEnd"/>
      <w:r w:rsidRPr="00CF2897">
        <w:t xml:space="preserve"> Inland = CHF 453.2m (15.7% of portfolio in the performance table).</w:t>
      </w:r>
      <w:r>
        <w:rPr>
          <w:rStyle w:val="FootnoteReference"/>
        </w:rPr>
        <w:footnoteReference w:id="9"/>
      </w:r>
      <w:r w:rsidR="00F64FE0">
        <w:t xml:space="preserve"> </w:t>
      </w:r>
      <w:r w:rsidR="00F64FE0" w:rsidRPr="00F64FE0">
        <w:t>For issuer-level estimation, a reasonable default proxy is broad Swiss equity</w:t>
      </w:r>
      <w:r w:rsidR="00F64FE0">
        <w:t xml:space="preserve">. For this we use </w:t>
      </w:r>
      <w:r w:rsidR="00F64FE0" w:rsidRPr="00F64FE0">
        <w:t>iShares Core SPI ETF (CH)</w:t>
      </w:r>
      <w:r w:rsidR="00F64FE0">
        <w:t xml:space="preserve">. </w:t>
      </w:r>
    </w:p>
    <w:p w14:paraId="51A69876" w14:textId="22988A2B" w:rsidR="00F058AA" w:rsidRDefault="00F64FE0" w:rsidP="00F64FE0">
      <w:proofErr w:type="spellStart"/>
      <w:r w:rsidRPr="00F64FE0">
        <w:lastRenderedPageBreak/>
        <w:t>Aktien</w:t>
      </w:r>
      <w:proofErr w:type="spellEnd"/>
      <w:r w:rsidRPr="00F64FE0">
        <w:t xml:space="preserve"> Ausland = CHF 437.2m and notes (9% hedged) in the performance table.</w:t>
      </w:r>
      <w:r>
        <w:t xml:space="preserve"> </w:t>
      </w:r>
      <w:r w:rsidRPr="00F64FE0">
        <w:t xml:space="preserve">Standard pension proxy is MSCI World ex </w:t>
      </w:r>
      <w:proofErr w:type="gramStart"/>
      <w:r w:rsidRPr="00F64FE0">
        <w:t>CH</w:t>
      </w:r>
      <w:proofErr w:type="gramEnd"/>
      <w:r>
        <w:t xml:space="preserve"> and we use </w:t>
      </w:r>
      <w:r w:rsidRPr="00F64FE0">
        <w:t>iShares World ex Switzerland Equity Index Fund</w:t>
      </w:r>
      <w:r>
        <w:t xml:space="preserve"> as a proxy. </w:t>
      </w:r>
    </w:p>
    <w:p w14:paraId="0928D93A" w14:textId="46D71CD1" w:rsidR="00F64FE0" w:rsidRDefault="00F64FE0" w:rsidP="00F64FE0">
      <w:pPr>
        <w:pStyle w:val="Heading2"/>
      </w:pPr>
      <w:r>
        <w:t>Bonds</w:t>
      </w:r>
    </w:p>
    <w:p w14:paraId="7DF50E44" w14:textId="7F0ABCD0" w:rsidR="00F64FE0" w:rsidRDefault="00F64FE0" w:rsidP="00F64FE0">
      <w:r>
        <w:t>Obligationen CHF = CHF 225.1m</w:t>
      </w:r>
    </w:p>
    <w:p w14:paraId="0D715F89" w14:textId="7955A5FF" w:rsidR="00F64FE0" w:rsidRDefault="00F64FE0" w:rsidP="00F64FE0">
      <w:r>
        <w:t>Obligationen FW Ausland = CHF 112.2m</w:t>
      </w:r>
    </w:p>
    <w:p w14:paraId="5787EC0E" w14:textId="171C1C85" w:rsidR="00812478" w:rsidRDefault="00812478" w:rsidP="00812478">
      <w:r>
        <w:t>PVK’s AVO strategic table defines the buckets (targets)</w:t>
      </w:r>
      <w:r>
        <w:t xml:space="preserve">: </w:t>
      </w:r>
      <w:r>
        <w:t>Obligationen CHF 9%; Obligationen Ausland FW (CHF hedged) 4%; plus “Ergänzungsstrategien Obligationen” 4%.</w:t>
      </w:r>
      <w:r>
        <w:t xml:space="preserve"> Important to note that t</w:t>
      </w:r>
      <w:r w:rsidRPr="00812478">
        <w:t xml:space="preserve">he Geschäftsbericht table gives actual CHF amounts for the two bond buckets </w:t>
      </w:r>
      <w:proofErr w:type="gramStart"/>
      <w:r w:rsidRPr="00812478">
        <w:t>above, but</w:t>
      </w:r>
      <w:proofErr w:type="gramEnd"/>
      <w:r w:rsidRPr="00812478">
        <w:t xml:space="preserve"> does not break out the “Ergänzungsstrategien Obligationen” component as a separate CHF amount in that table excerpt.</w:t>
      </w:r>
      <w:r>
        <w:t xml:space="preserve"> </w:t>
      </w:r>
      <w:proofErr w:type="gramStart"/>
      <w:r>
        <w:t>Therefore</w:t>
      </w:r>
      <w:proofErr w:type="gramEnd"/>
      <w:r>
        <w:t xml:space="preserve"> we stay with what PVK explicitly quantifies (CHF bonds + Foreign Bonds).</w:t>
      </w:r>
    </w:p>
    <w:p w14:paraId="722C2D6E" w14:textId="49B81360" w:rsidR="00812478" w:rsidRDefault="006114E1" w:rsidP="006114E1">
      <w:r>
        <w:t>O</w:t>
      </w:r>
      <w:r w:rsidR="00812478">
        <w:t>bligationen CHF</w:t>
      </w:r>
      <w:r w:rsidR="00812478">
        <w:t xml:space="preserve"> is</w:t>
      </w:r>
      <w:r w:rsidR="00812478">
        <w:t xml:space="preserve"> often </w:t>
      </w:r>
      <w:r>
        <w:t xml:space="preserve">underlined </w:t>
      </w:r>
      <w:r w:rsidR="00812478">
        <w:t>with SBI AAA–BBB TR.</w:t>
      </w:r>
      <w:r>
        <w:t xml:space="preserve"> As a p</w:t>
      </w:r>
      <w:r w:rsidR="00812478">
        <w:t xml:space="preserve">roxy fund </w:t>
      </w:r>
      <w:r>
        <w:t>we use</w:t>
      </w:r>
      <w:r w:rsidR="00812478">
        <w:t xml:space="preserve"> Swiss Life Index Funds Bond Swiss Franc AAA-BBB-AM.</w:t>
      </w:r>
    </w:p>
    <w:p w14:paraId="19812136" w14:textId="5D066685" w:rsidR="00812478" w:rsidRDefault="00812478" w:rsidP="006114E1">
      <w:r>
        <w:t>Obligationen FW Ausland often proxied with Bloomberg Global Aggregate CHF-hedged (or “ex CHF”).</w:t>
      </w:r>
      <w:r w:rsidR="006114E1">
        <w:t xml:space="preserve"> We use as a proxy </w:t>
      </w:r>
      <w:r w:rsidR="006114E1" w:rsidRPr="006114E1">
        <w:t>SPDR Bloomberg Global Aggregate Bond UCITS ETF</w:t>
      </w:r>
      <w:r w:rsidR="006114E1">
        <w:t>.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581"/>
        <w:gridCol w:w="1398"/>
        <w:gridCol w:w="1536"/>
        <w:gridCol w:w="3835"/>
      </w:tblGrid>
      <w:tr w:rsidR="007C4C21" w:rsidRPr="006114E1" w14:paraId="7D8CD664" w14:textId="77777777" w:rsidTr="005E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8A13A60" w14:textId="77777777" w:rsidR="005E207F" w:rsidRPr="006114E1" w:rsidRDefault="005E207F" w:rsidP="006114E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Asset class</w:t>
            </w:r>
          </w:p>
        </w:tc>
        <w:tc>
          <w:tcPr>
            <w:tcW w:w="0" w:type="auto"/>
            <w:hideMark/>
          </w:tcPr>
          <w:p w14:paraId="747187BC" w14:textId="7E26D0C2" w:rsidR="005E207F" w:rsidRPr="006114E1" w:rsidRDefault="005E207F" w:rsidP="006114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A</w:t>
            </w: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mount</w:t>
            </w:r>
            <w:r w:rsidR="007C4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CHF (m) </w:t>
            </w:r>
          </w:p>
        </w:tc>
        <w:tc>
          <w:tcPr>
            <w:tcW w:w="0" w:type="auto"/>
            <w:hideMark/>
          </w:tcPr>
          <w:p w14:paraId="42712B10" w14:textId="5442D386" w:rsidR="005E207F" w:rsidRPr="006114E1" w:rsidRDefault="005E207F" w:rsidP="006114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Benchmark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*</w:t>
            </w:r>
          </w:p>
        </w:tc>
        <w:tc>
          <w:tcPr>
            <w:tcW w:w="0" w:type="auto"/>
            <w:hideMark/>
          </w:tcPr>
          <w:p w14:paraId="0A8DD0B8" w14:textId="77777777" w:rsidR="005E207F" w:rsidRPr="006114E1" w:rsidRDefault="005E207F" w:rsidP="006114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Proxy used (for issuer-level estimation)</w:t>
            </w:r>
          </w:p>
        </w:tc>
      </w:tr>
      <w:tr w:rsidR="007C4C21" w:rsidRPr="006114E1" w14:paraId="0F062DC8" w14:textId="77777777" w:rsidTr="005E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9B955" w14:textId="77777777" w:rsidR="005E207F" w:rsidRPr="006114E1" w:rsidRDefault="005E207F" w:rsidP="006114E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Inland</w:t>
            </w:r>
          </w:p>
        </w:tc>
        <w:tc>
          <w:tcPr>
            <w:tcW w:w="0" w:type="auto"/>
            <w:hideMark/>
          </w:tcPr>
          <w:p w14:paraId="5242AB46" w14:textId="694EFE14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453.2</w:t>
            </w:r>
          </w:p>
        </w:tc>
        <w:tc>
          <w:tcPr>
            <w:tcW w:w="0" w:type="auto"/>
          </w:tcPr>
          <w:p w14:paraId="62B186E7" w14:textId="10EC1F6C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hideMark/>
          </w:tcPr>
          <w:p w14:paraId="4F912A07" w14:textId="620865FA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Assumption:</w:t>
            </w: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iShares Core SPI ETF (CH)</w:t>
            </w:r>
          </w:p>
        </w:tc>
      </w:tr>
      <w:tr w:rsidR="007C4C21" w:rsidRPr="006114E1" w14:paraId="5848F523" w14:textId="77777777" w:rsidTr="005E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6FFF5" w14:textId="77777777" w:rsidR="005E207F" w:rsidRPr="006114E1" w:rsidRDefault="005E207F" w:rsidP="006114E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Aktien</w:t>
            </w:r>
            <w:proofErr w:type="spellEnd"/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Ausland</w:t>
            </w:r>
          </w:p>
        </w:tc>
        <w:tc>
          <w:tcPr>
            <w:tcW w:w="0" w:type="auto"/>
            <w:hideMark/>
          </w:tcPr>
          <w:p w14:paraId="3F152430" w14:textId="08190B30" w:rsidR="005E207F" w:rsidRPr="006114E1" w:rsidRDefault="003112A6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535</w:t>
            </w:r>
            <w:r w:rsidR="005E207F"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</w:tcPr>
          <w:p w14:paraId="291A2725" w14:textId="7A099957" w:rsidR="005E207F" w:rsidRPr="006114E1" w:rsidRDefault="005E207F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hideMark/>
          </w:tcPr>
          <w:p w14:paraId="6B5C8AE2" w14:textId="7BC5D2EF" w:rsidR="005E207F" w:rsidRPr="006114E1" w:rsidRDefault="005E207F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Assumption:</w:t>
            </w: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iShares World ex Switzerland Equity Index Fund (CH)</w:t>
            </w:r>
          </w:p>
        </w:tc>
      </w:tr>
      <w:tr w:rsidR="007C4C21" w:rsidRPr="006114E1" w14:paraId="17E5FAF8" w14:textId="77777777" w:rsidTr="005E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1356E" w14:textId="77777777" w:rsidR="005E207F" w:rsidRPr="006114E1" w:rsidRDefault="005E207F" w:rsidP="006114E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 CHF</w:t>
            </w:r>
          </w:p>
        </w:tc>
        <w:tc>
          <w:tcPr>
            <w:tcW w:w="0" w:type="auto"/>
            <w:hideMark/>
          </w:tcPr>
          <w:p w14:paraId="714352B1" w14:textId="39E0DAE8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225.1</w:t>
            </w:r>
          </w:p>
        </w:tc>
        <w:tc>
          <w:tcPr>
            <w:tcW w:w="0" w:type="auto"/>
          </w:tcPr>
          <w:p w14:paraId="3EC84DCE" w14:textId="5DF40E46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hideMark/>
          </w:tcPr>
          <w:p w14:paraId="255DBB45" w14:textId="203EC87B" w:rsidR="005E207F" w:rsidRPr="006114E1" w:rsidRDefault="005E207F" w:rsidP="00611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Assumption:</w:t>
            </w: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Swiss Life Index Funds Bond CHF AAA-BBB-AM</w:t>
            </w:r>
            <w:r w:rsidR="001816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</w:p>
        </w:tc>
      </w:tr>
      <w:tr w:rsidR="007C4C21" w:rsidRPr="006114E1" w14:paraId="561103A5" w14:textId="77777777" w:rsidTr="005E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9B8B5" w14:textId="77777777" w:rsidR="005E207F" w:rsidRPr="006114E1" w:rsidRDefault="005E207F" w:rsidP="006114E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Obligationen FW Ausland (≈90% hedged)</w:t>
            </w:r>
          </w:p>
        </w:tc>
        <w:tc>
          <w:tcPr>
            <w:tcW w:w="0" w:type="auto"/>
            <w:hideMark/>
          </w:tcPr>
          <w:p w14:paraId="68DAA72A" w14:textId="25A5430E" w:rsidR="005E207F" w:rsidRPr="006114E1" w:rsidRDefault="005E207F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112.2</w:t>
            </w:r>
          </w:p>
        </w:tc>
        <w:tc>
          <w:tcPr>
            <w:tcW w:w="0" w:type="auto"/>
          </w:tcPr>
          <w:p w14:paraId="274BF244" w14:textId="51AF7C5D" w:rsidR="005E207F" w:rsidRPr="006114E1" w:rsidRDefault="005E207F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hideMark/>
          </w:tcPr>
          <w:p w14:paraId="2799E5C8" w14:textId="3E5D152C" w:rsidR="005E207F" w:rsidRPr="006114E1" w:rsidRDefault="005E207F" w:rsidP="00611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4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Assumption:</w:t>
            </w:r>
            <w:r w:rsidRPr="006114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SPDR Bloomberg Global Aggregate Bond UCITS ETF CHF-hedged</w:t>
            </w:r>
          </w:p>
        </w:tc>
      </w:tr>
    </w:tbl>
    <w:p w14:paraId="31C5E548" w14:textId="015F5D97" w:rsidR="006114E1" w:rsidRPr="00181607" w:rsidRDefault="005E207F" w:rsidP="00181607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181607">
        <w:rPr>
          <w:i/>
          <w:iCs/>
          <w:sz w:val="20"/>
          <w:szCs w:val="20"/>
        </w:rPr>
        <w:t xml:space="preserve">* </w:t>
      </w:r>
      <w:r w:rsidRPr="00181607">
        <w:rPr>
          <w:i/>
          <w:iCs/>
          <w:sz w:val="20"/>
          <w:szCs w:val="20"/>
        </w:rPr>
        <w:t>PVK</w:t>
      </w:r>
      <w:r w:rsidRPr="00181607">
        <w:rPr>
          <w:i/>
          <w:iCs/>
          <w:sz w:val="20"/>
          <w:szCs w:val="20"/>
        </w:rPr>
        <w:t xml:space="preserve"> does not disclose </w:t>
      </w:r>
      <w:r w:rsidRPr="00181607">
        <w:rPr>
          <w:i/>
          <w:iCs/>
          <w:sz w:val="20"/>
          <w:szCs w:val="20"/>
        </w:rPr>
        <w:t>the benchmark names per bucket</w:t>
      </w:r>
      <w:r w:rsidRPr="00181607">
        <w:rPr>
          <w:i/>
          <w:iCs/>
          <w:sz w:val="20"/>
          <w:szCs w:val="20"/>
        </w:rPr>
        <w:t>. PVK refused to disclose them upon request.</w:t>
      </w:r>
    </w:p>
    <w:p w14:paraId="7B71E9BF" w14:textId="5082E0C6" w:rsidR="00181607" w:rsidRDefault="00181607" w:rsidP="00181607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181607">
        <w:rPr>
          <w:i/>
          <w:iCs/>
          <w:sz w:val="20"/>
          <w:szCs w:val="20"/>
        </w:rPr>
        <w:t>** we exclude BBB rated bonds manually.</w:t>
      </w:r>
    </w:p>
    <w:p w14:paraId="05E30B6D" w14:textId="1DB92A0F" w:rsidR="003112A6" w:rsidRPr="003112A6" w:rsidRDefault="003112A6" w:rsidP="00181607">
      <w:pPr>
        <w:pStyle w:val="NormalWeb"/>
        <w:spacing w:before="0" w:beforeAutospacing="0" w:after="0" w:afterAutospacing="0"/>
        <w:rPr>
          <w:i/>
          <w:iCs/>
          <w:sz w:val="20"/>
          <w:szCs w:val="20"/>
        </w:rPr>
      </w:pPr>
      <w:r w:rsidRPr="003112A6">
        <w:rPr>
          <w:i/>
          <w:iCs/>
          <w:sz w:val="20"/>
          <w:szCs w:val="20"/>
        </w:rPr>
        <w:t xml:space="preserve">*** given that </w:t>
      </w:r>
      <w:r w:rsidRPr="003112A6">
        <w:rPr>
          <w:i/>
          <w:iCs/>
          <w:sz w:val="20"/>
          <w:szCs w:val="20"/>
        </w:rPr>
        <w:t xml:space="preserve">Ergänzungsstrategien </w:t>
      </w:r>
      <w:proofErr w:type="spellStart"/>
      <w:r w:rsidRPr="003112A6">
        <w:rPr>
          <w:i/>
          <w:iCs/>
          <w:sz w:val="20"/>
          <w:szCs w:val="20"/>
        </w:rPr>
        <w:t>Aktien</w:t>
      </w:r>
      <w:proofErr w:type="spellEnd"/>
      <w:r w:rsidRPr="003112A6">
        <w:rPr>
          <w:i/>
          <w:iCs/>
          <w:sz w:val="20"/>
          <w:szCs w:val="20"/>
        </w:rPr>
        <w:t xml:space="preserve"> constitutes 3% which corresponds to </w:t>
      </w:r>
      <w:r>
        <w:rPr>
          <w:i/>
          <w:iCs/>
          <w:sz w:val="20"/>
          <w:szCs w:val="20"/>
        </w:rPr>
        <w:t>CHF 98.1 million and replicates</w:t>
      </w:r>
      <w:r w:rsidRPr="003112A6">
        <w:t xml:space="preserve"> </w:t>
      </w:r>
      <w:r w:rsidRPr="003112A6">
        <w:rPr>
          <w:i/>
          <w:iCs/>
          <w:sz w:val="20"/>
          <w:szCs w:val="20"/>
        </w:rPr>
        <w:t>MSCI World ex CH</w:t>
      </w:r>
      <w:r>
        <w:rPr>
          <w:i/>
          <w:iCs/>
          <w:sz w:val="20"/>
          <w:szCs w:val="20"/>
        </w:rPr>
        <w:t xml:space="preserve"> according to email correspondence with PVK, we add the 98.1 million to the </w:t>
      </w:r>
      <w:proofErr w:type="spellStart"/>
      <w:r>
        <w:rPr>
          <w:i/>
          <w:iCs/>
          <w:sz w:val="20"/>
          <w:szCs w:val="20"/>
        </w:rPr>
        <w:t>Aktein</w:t>
      </w:r>
      <w:proofErr w:type="spellEnd"/>
      <w:r>
        <w:rPr>
          <w:i/>
          <w:iCs/>
          <w:sz w:val="20"/>
          <w:szCs w:val="20"/>
        </w:rPr>
        <w:t xml:space="preserve"> Ausland which is CHF 437.2 million.</w:t>
      </w:r>
    </w:p>
    <w:p w14:paraId="145D5EB1" w14:textId="77777777" w:rsidR="006114E1" w:rsidRPr="003112A6" w:rsidRDefault="006114E1" w:rsidP="006114E1"/>
    <w:sectPr w:rsidR="006114E1" w:rsidRPr="0031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DF59" w14:textId="77777777" w:rsidR="00E0608F" w:rsidRDefault="00E0608F" w:rsidP="005E0996">
      <w:pPr>
        <w:spacing w:after="0" w:line="240" w:lineRule="auto"/>
      </w:pPr>
      <w:r>
        <w:separator/>
      </w:r>
    </w:p>
  </w:endnote>
  <w:endnote w:type="continuationSeparator" w:id="0">
    <w:p w14:paraId="5B0E5002" w14:textId="77777777" w:rsidR="00E0608F" w:rsidRDefault="00E0608F" w:rsidP="005E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70E8" w14:textId="77777777" w:rsidR="00E0608F" w:rsidRDefault="00E0608F" w:rsidP="005E0996">
      <w:pPr>
        <w:spacing w:after="0" w:line="240" w:lineRule="auto"/>
      </w:pPr>
      <w:r>
        <w:separator/>
      </w:r>
    </w:p>
  </w:footnote>
  <w:footnote w:type="continuationSeparator" w:id="0">
    <w:p w14:paraId="3BC3F117" w14:textId="77777777" w:rsidR="00E0608F" w:rsidRDefault="00E0608F" w:rsidP="005E0996">
      <w:pPr>
        <w:spacing w:after="0" w:line="240" w:lineRule="auto"/>
      </w:pPr>
      <w:r>
        <w:continuationSeparator/>
      </w:r>
    </w:p>
  </w:footnote>
  <w:footnote w:id="1">
    <w:p w14:paraId="08853C3A" w14:textId="77777777" w:rsidR="00AE066A" w:rsidRPr="00B75900" w:rsidRDefault="00AE066A" w:rsidP="00AE0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900">
        <w:t>https://blvk.ch/wp-content/uploads/2025/04/BLVK_Geschaeftsbericht_2024_A4_de.pdf</w:t>
      </w:r>
    </w:p>
  </w:footnote>
  <w:footnote w:id="2">
    <w:p w14:paraId="7A643364" w14:textId="77777777" w:rsidR="00AE066A" w:rsidRDefault="00AE066A" w:rsidP="00AE0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900">
        <w:t>https://blvk.ch/wp-content/uploads/2025/05/Anlagereglement-per-1.-Januar-2025.pdf</w:t>
      </w:r>
    </w:p>
  </w:footnote>
  <w:footnote w:id="3">
    <w:p w14:paraId="7914DFBD" w14:textId="61127167" w:rsidR="00843B71" w:rsidRDefault="00843B71">
      <w:pPr>
        <w:pStyle w:val="FootnoteText"/>
      </w:pPr>
      <w:r>
        <w:rPr>
          <w:rStyle w:val="FootnoteReference"/>
        </w:rPr>
        <w:footnoteRef/>
      </w:r>
      <w:r>
        <w:t xml:space="preserve"> We use </w:t>
      </w:r>
      <w:r w:rsidRPr="00BC61D4">
        <w:t>iShares SMI® ETF (CH)</w:t>
      </w:r>
      <w:r>
        <w:t xml:space="preserve"> since the SPI is identical to SMI; </w:t>
      </w:r>
      <w:hyperlink r:id="rId1" w:history="1">
        <w:r w:rsidRPr="00EA2AFA">
          <w:rPr>
            <w:rStyle w:val="Hyperlink"/>
          </w:rPr>
          <w:t>https://www.six-group.com/dam/download/market-data/indices/equity-indices/six-methodology-smi-equity-and-re-en.pdf</w:t>
        </w:r>
      </w:hyperlink>
      <w:r>
        <w:t xml:space="preserve"> ; page 29</w:t>
      </w:r>
    </w:p>
  </w:footnote>
  <w:footnote w:id="4">
    <w:p w14:paraId="2B2C3B1A" w14:textId="61F74CE8" w:rsidR="00D568A2" w:rsidRDefault="00D568A2" w:rsidP="00D568A2">
      <w:pPr>
        <w:pStyle w:val="FootnoteText"/>
      </w:pPr>
      <w:r>
        <w:rPr>
          <w:rStyle w:val="FootnoteReference"/>
        </w:rPr>
        <w:footnoteRef/>
      </w:r>
      <w:r w:rsidR="00E9652B">
        <w:t xml:space="preserve"> </w:t>
      </w:r>
      <w:r w:rsidR="00E9652B" w:rsidRPr="00E9652B">
        <w:t>https://indexdata.six-group.com/equity/spi_extra.html</w:t>
      </w:r>
    </w:p>
  </w:footnote>
  <w:footnote w:id="5">
    <w:p w14:paraId="005E1503" w14:textId="433D2B80" w:rsidR="00174EFF" w:rsidRDefault="00174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4EFF">
        <w:t>https://bpk.ch/fileadmin/redaktion/3_Kundenservice/3.2_Publikationen/3.2.3_Gesetz_und_Reglemente/Anlagereglement_D.pdf</w:t>
      </w:r>
    </w:p>
  </w:footnote>
  <w:footnote w:id="6">
    <w:p w14:paraId="61088320" w14:textId="1978F790" w:rsidR="005F01AE" w:rsidRDefault="005F01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01AE">
        <w:t>https://bpk.ch/fileadmin/redaktion/3_Kundenservice/3.2_Publikationen/3.2.4_Jahresberichte/Jahresbericht_2024_D_F.pdf</w:t>
      </w:r>
    </w:p>
  </w:footnote>
  <w:footnote w:id="7">
    <w:p w14:paraId="7BADE239" w14:textId="3B564F5C" w:rsidR="006D06B6" w:rsidRDefault="006D06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06B6">
        <w:t>https://www.pvkbern.ch/storage/4860cd079e26199da19da66850c8707f153271a111254d0d217365fd5c0d5b96</w:t>
      </w:r>
    </w:p>
  </w:footnote>
  <w:footnote w:id="8">
    <w:p w14:paraId="05D7B3EB" w14:textId="771D6F12" w:rsidR="006D06B6" w:rsidRDefault="006D06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06B6">
        <w:t>https://www.pvkbern.ch/storage/f7124fb81e829e34573bb8bb9f3bb61ad4f924a6ae9c526b14fa91837e0b2368</w:t>
      </w:r>
    </w:p>
  </w:footnote>
  <w:footnote w:id="9">
    <w:p w14:paraId="1360146B" w14:textId="290C28AC" w:rsidR="00CF2897" w:rsidRDefault="00CF28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897">
        <w:t>https://www.pvkbern.ch/storage/4860cd079e26199da19da66850c8707f153271a111254d0d217365fd5c0d5b96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1AE"/>
    <w:multiLevelType w:val="hybridMultilevel"/>
    <w:tmpl w:val="E2B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A20D4"/>
    <w:multiLevelType w:val="multilevel"/>
    <w:tmpl w:val="474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75474"/>
    <w:multiLevelType w:val="hybridMultilevel"/>
    <w:tmpl w:val="7F56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F0B"/>
    <w:multiLevelType w:val="hybridMultilevel"/>
    <w:tmpl w:val="072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22B5D"/>
    <w:multiLevelType w:val="hybridMultilevel"/>
    <w:tmpl w:val="D9F2927A"/>
    <w:lvl w:ilvl="0" w:tplc="4B6CE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1703F"/>
    <w:multiLevelType w:val="hybridMultilevel"/>
    <w:tmpl w:val="8BD4E5E2"/>
    <w:lvl w:ilvl="0" w:tplc="CC6A76EA">
      <w:numFmt w:val="bullet"/>
      <w:lvlText w:val="-"/>
      <w:lvlJc w:val="left"/>
      <w:pPr>
        <w:ind w:left="720" w:hanging="360"/>
      </w:pPr>
      <w:rPr>
        <w:rFonts w:ascii="Aptos" w:eastAsiaTheme="majorEastAsia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2107"/>
    <w:multiLevelType w:val="hybridMultilevel"/>
    <w:tmpl w:val="050E3EA4"/>
    <w:lvl w:ilvl="0" w:tplc="7E945BB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76825"/>
    <w:multiLevelType w:val="multilevel"/>
    <w:tmpl w:val="4D5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01208"/>
    <w:multiLevelType w:val="multilevel"/>
    <w:tmpl w:val="C23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13717"/>
    <w:multiLevelType w:val="hybridMultilevel"/>
    <w:tmpl w:val="CD2CC3C4"/>
    <w:lvl w:ilvl="0" w:tplc="A35CB10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559050">
    <w:abstractNumId w:val="8"/>
  </w:num>
  <w:num w:numId="2" w16cid:durableId="692535516">
    <w:abstractNumId w:val="1"/>
  </w:num>
  <w:num w:numId="3" w16cid:durableId="678502165">
    <w:abstractNumId w:val="7"/>
  </w:num>
  <w:num w:numId="4" w16cid:durableId="517430272">
    <w:abstractNumId w:val="3"/>
  </w:num>
  <w:num w:numId="5" w16cid:durableId="62797150">
    <w:abstractNumId w:val="2"/>
  </w:num>
  <w:num w:numId="6" w16cid:durableId="537203439">
    <w:abstractNumId w:val="0"/>
  </w:num>
  <w:num w:numId="7" w16cid:durableId="1319191878">
    <w:abstractNumId w:val="9"/>
  </w:num>
  <w:num w:numId="8" w16cid:durableId="1894584553">
    <w:abstractNumId w:val="5"/>
  </w:num>
  <w:num w:numId="9" w16cid:durableId="952830477">
    <w:abstractNumId w:val="6"/>
  </w:num>
  <w:num w:numId="10" w16cid:durableId="1141849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96"/>
    <w:rsid w:val="0000593F"/>
    <w:rsid w:val="000435D7"/>
    <w:rsid w:val="00052D43"/>
    <w:rsid w:val="00085B35"/>
    <w:rsid w:val="000C4781"/>
    <w:rsid w:val="000E779D"/>
    <w:rsid w:val="001378BD"/>
    <w:rsid w:val="001555E7"/>
    <w:rsid w:val="00174EFF"/>
    <w:rsid w:val="00181607"/>
    <w:rsid w:val="001908ED"/>
    <w:rsid w:val="001B5715"/>
    <w:rsid w:val="001F5F29"/>
    <w:rsid w:val="001F6526"/>
    <w:rsid w:val="002024A9"/>
    <w:rsid w:val="002247BF"/>
    <w:rsid w:val="0025030E"/>
    <w:rsid w:val="0029310F"/>
    <w:rsid w:val="002A10A2"/>
    <w:rsid w:val="002E21ED"/>
    <w:rsid w:val="00306EA3"/>
    <w:rsid w:val="003112A6"/>
    <w:rsid w:val="0032721F"/>
    <w:rsid w:val="003515F5"/>
    <w:rsid w:val="00354504"/>
    <w:rsid w:val="003863EB"/>
    <w:rsid w:val="003A3419"/>
    <w:rsid w:val="003D18D7"/>
    <w:rsid w:val="003D3FD7"/>
    <w:rsid w:val="003E4C6D"/>
    <w:rsid w:val="00404BF9"/>
    <w:rsid w:val="00445DA1"/>
    <w:rsid w:val="004652DC"/>
    <w:rsid w:val="0049007D"/>
    <w:rsid w:val="004A1348"/>
    <w:rsid w:val="004B46B9"/>
    <w:rsid w:val="004B4995"/>
    <w:rsid w:val="004F05E3"/>
    <w:rsid w:val="004F17B5"/>
    <w:rsid w:val="004F6DCC"/>
    <w:rsid w:val="00516CB8"/>
    <w:rsid w:val="0052528D"/>
    <w:rsid w:val="00571483"/>
    <w:rsid w:val="00596EE6"/>
    <w:rsid w:val="005B7253"/>
    <w:rsid w:val="005C0215"/>
    <w:rsid w:val="005E0996"/>
    <w:rsid w:val="005E207F"/>
    <w:rsid w:val="005F01AE"/>
    <w:rsid w:val="005F6726"/>
    <w:rsid w:val="006114E1"/>
    <w:rsid w:val="00647DF2"/>
    <w:rsid w:val="006663BC"/>
    <w:rsid w:val="00695625"/>
    <w:rsid w:val="00697AD2"/>
    <w:rsid w:val="006D06B6"/>
    <w:rsid w:val="006D3D40"/>
    <w:rsid w:val="00770FFC"/>
    <w:rsid w:val="007B6344"/>
    <w:rsid w:val="007C4C21"/>
    <w:rsid w:val="007C5894"/>
    <w:rsid w:val="00812478"/>
    <w:rsid w:val="00821DAD"/>
    <w:rsid w:val="008353F9"/>
    <w:rsid w:val="00843B71"/>
    <w:rsid w:val="008C5C7D"/>
    <w:rsid w:val="008D5F24"/>
    <w:rsid w:val="008E30DD"/>
    <w:rsid w:val="008F5CBB"/>
    <w:rsid w:val="00925D69"/>
    <w:rsid w:val="00950623"/>
    <w:rsid w:val="00991935"/>
    <w:rsid w:val="009A72AD"/>
    <w:rsid w:val="009B7CB6"/>
    <w:rsid w:val="009C5B81"/>
    <w:rsid w:val="009D3A35"/>
    <w:rsid w:val="009E1BC1"/>
    <w:rsid w:val="00A4091E"/>
    <w:rsid w:val="00A66F23"/>
    <w:rsid w:val="00AB08BF"/>
    <w:rsid w:val="00AB2C83"/>
    <w:rsid w:val="00AC7303"/>
    <w:rsid w:val="00AD5375"/>
    <w:rsid w:val="00AE066A"/>
    <w:rsid w:val="00B07766"/>
    <w:rsid w:val="00B12555"/>
    <w:rsid w:val="00B20243"/>
    <w:rsid w:val="00B5447C"/>
    <w:rsid w:val="00B56BB9"/>
    <w:rsid w:val="00B64796"/>
    <w:rsid w:val="00B72C61"/>
    <w:rsid w:val="00B75900"/>
    <w:rsid w:val="00BC61D4"/>
    <w:rsid w:val="00BE03D2"/>
    <w:rsid w:val="00BF5808"/>
    <w:rsid w:val="00C02ADB"/>
    <w:rsid w:val="00C47F09"/>
    <w:rsid w:val="00C77B5E"/>
    <w:rsid w:val="00CB459C"/>
    <w:rsid w:val="00CC531C"/>
    <w:rsid w:val="00CE1E6F"/>
    <w:rsid w:val="00CF2897"/>
    <w:rsid w:val="00D06079"/>
    <w:rsid w:val="00D16097"/>
    <w:rsid w:val="00D53EB5"/>
    <w:rsid w:val="00D568A2"/>
    <w:rsid w:val="00D6557D"/>
    <w:rsid w:val="00D70651"/>
    <w:rsid w:val="00DE3C28"/>
    <w:rsid w:val="00DF2901"/>
    <w:rsid w:val="00E04A12"/>
    <w:rsid w:val="00E0608F"/>
    <w:rsid w:val="00E423B9"/>
    <w:rsid w:val="00E4270F"/>
    <w:rsid w:val="00E564B8"/>
    <w:rsid w:val="00E860BF"/>
    <w:rsid w:val="00E8790A"/>
    <w:rsid w:val="00E9652B"/>
    <w:rsid w:val="00EC3739"/>
    <w:rsid w:val="00F058AA"/>
    <w:rsid w:val="00F22427"/>
    <w:rsid w:val="00F2295F"/>
    <w:rsid w:val="00F30478"/>
    <w:rsid w:val="00F64FE0"/>
    <w:rsid w:val="00F70FD9"/>
    <w:rsid w:val="00F75FE8"/>
    <w:rsid w:val="00F93234"/>
    <w:rsid w:val="00FC57C4"/>
    <w:rsid w:val="00FD2F05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038ED"/>
  <w15:chartTrackingRefBased/>
  <w15:docId w15:val="{11FB5BE4-37DB-458D-B6DA-11967DBC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9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99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E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21ED"/>
    <w:rPr>
      <w:b/>
      <w:bCs/>
    </w:rPr>
  </w:style>
  <w:style w:type="character" w:styleId="Hyperlink">
    <w:name w:val="Hyperlink"/>
    <w:basedOn w:val="DefaultParagraphFont"/>
    <w:uiPriority w:val="99"/>
    <w:unhideWhenUsed/>
    <w:rsid w:val="00BC61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1D4"/>
    <w:rPr>
      <w:color w:val="605E5C"/>
      <w:shd w:val="clear" w:color="auto" w:fill="E1DFDD"/>
    </w:rPr>
  </w:style>
  <w:style w:type="character" w:customStyle="1" w:styleId="mord">
    <w:name w:val="mord"/>
    <w:basedOn w:val="DefaultParagraphFont"/>
    <w:rsid w:val="00647DF2"/>
  </w:style>
  <w:style w:type="character" w:customStyle="1" w:styleId="vlist-s">
    <w:name w:val="vlist-s"/>
    <w:basedOn w:val="DefaultParagraphFont"/>
    <w:rsid w:val="00647DF2"/>
  </w:style>
  <w:style w:type="character" w:customStyle="1" w:styleId="mrel">
    <w:name w:val="mrel"/>
    <w:basedOn w:val="DefaultParagraphFont"/>
    <w:rsid w:val="00647DF2"/>
  </w:style>
  <w:style w:type="character" w:customStyle="1" w:styleId="mop">
    <w:name w:val="mop"/>
    <w:basedOn w:val="DefaultParagraphFont"/>
    <w:rsid w:val="00647DF2"/>
  </w:style>
  <w:style w:type="character" w:styleId="PlaceholderText">
    <w:name w:val="Placeholder Text"/>
    <w:basedOn w:val="DefaultParagraphFont"/>
    <w:uiPriority w:val="99"/>
    <w:semiHidden/>
    <w:rsid w:val="004A1348"/>
    <w:rPr>
      <w:color w:val="666666"/>
    </w:rPr>
  </w:style>
  <w:style w:type="table" w:styleId="ListTable3-Accent1">
    <w:name w:val="List Table 3 Accent 1"/>
    <w:basedOn w:val="TableNormal"/>
    <w:uiPriority w:val="48"/>
    <w:rsid w:val="001F5F2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C02ADB"/>
    <w:rPr>
      <w:i/>
      <w:iCs/>
    </w:rPr>
  </w:style>
  <w:style w:type="table" w:styleId="GridTable4-Accent1">
    <w:name w:val="Grid Table 4 Accent 1"/>
    <w:basedOn w:val="TableNormal"/>
    <w:uiPriority w:val="49"/>
    <w:rsid w:val="009C5B8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ix-group.com/dam/download/market-data/indices/equity-indices/six-methodology-smi-equity-and-re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4E6A-C3A7-4FF2-87CC-9FD42E56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5369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Abdullah</dc:creator>
  <cp:keywords/>
  <dc:description/>
  <cp:lastModifiedBy>Osama Abdullah</cp:lastModifiedBy>
  <cp:revision>7</cp:revision>
  <dcterms:created xsi:type="dcterms:W3CDTF">2026-01-26T14:12:00Z</dcterms:created>
  <dcterms:modified xsi:type="dcterms:W3CDTF">2026-02-06T17:27:00Z</dcterms:modified>
</cp:coreProperties>
</file>